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19DDE" w14:textId="46594556" w:rsidR="00B316D8" w:rsidRPr="001A1C0D" w:rsidRDefault="00FB219C" w:rsidP="00FB219C">
      <w:pPr>
        <w:pStyle w:val="Ttulo1"/>
        <w:jc w:val="both"/>
        <w:rPr>
          <w:rFonts w:ascii="Arial" w:hAnsi="Arial" w:cs="Arial"/>
          <w:color w:val="auto"/>
        </w:rPr>
      </w:pPr>
      <w:bookmarkStart w:id="0" w:name="_GoBack"/>
      <w:bookmarkEnd w:id="0"/>
      <w:r w:rsidRPr="001A1C0D">
        <w:rPr>
          <w:rFonts w:ascii="Arial" w:hAnsi="Arial" w:cs="Arial"/>
          <w:color w:val="auto"/>
        </w:rPr>
        <w:t>Tratamento contábil dado por algumas empresas do setor de infraestrutura a condenações pecuniárias proferidas pelo Tribunal de Contas da União</w:t>
      </w:r>
    </w:p>
    <w:p w14:paraId="6571426F" w14:textId="77777777" w:rsidR="00FB219C" w:rsidRDefault="00FB219C" w:rsidP="00FB219C"/>
    <w:p w14:paraId="5C63FB0B" w14:textId="3D928105" w:rsidR="00FB219C" w:rsidRDefault="00FB219C" w:rsidP="00FB219C">
      <w:pPr>
        <w:rPr>
          <w:rFonts w:ascii="Arial" w:hAnsi="Arial" w:cs="Arial"/>
          <w:sz w:val="24"/>
          <w:szCs w:val="24"/>
        </w:rPr>
      </w:pPr>
      <w:r>
        <w:rPr>
          <w:rFonts w:ascii="Arial" w:hAnsi="Arial" w:cs="Arial"/>
          <w:sz w:val="24"/>
          <w:szCs w:val="24"/>
        </w:rPr>
        <w:t>Victor Hugo Moreira Ribeiro</w:t>
      </w:r>
      <w:r w:rsidR="001A1C0D">
        <w:rPr>
          <w:rStyle w:val="Refdenotaderodap"/>
          <w:rFonts w:ascii="Arial" w:hAnsi="Arial" w:cs="Arial"/>
          <w:sz w:val="24"/>
          <w:szCs w:val="24"/>
        </w:rPr>
        <w:footnoteReference w:id="2"/>
      </w:r>
    </w:p>
    <w:p w14:paraId="35C830DC" w14:textId="77777777" w:rsidR="00FB219C" w:rsidRDefault="00FB219C" w:rsidP="00FB219C">
      <w:pPr>
        <w:rPr>
          <w:rFonts w:ascii="Arial" w:hAnsi="Arial" w:cs="Arial"/>
          <w:sz w:val="24"/>
          <w:szCs w:val="24"/>
        </w:rPr>
      </w:pPr>
    </w:p>
    <w:p w14:paraId="1C2256A5" w14:textId="34540792" w:rsidR="00FB219C" w:rsidRPr="00AF19DE" w:rsidRDefault="002D75FF" w:rsidP="00FB219C">
      <w:pPr>
        <w:pStyle w:val="Ttulo2"/>
        <w:rPr>
          <w:rFonts w:ascii="Arial" w:hAnsi="Arial" w:cs="Arial"/>
          <w:b/>
          <w:bCs/>
          <w:color w:val="auto"/>
          <w:sz w:val="24"/>
          <w:szCs w:val="24"/>
        </w:rPr>
      </w:pPr>
      <w:r w:rsidRPr="00AF19DE">
        <w:rPr>
          <w:rFonts w:ascii="Arial" w:hAnsi="Arial" w:cs="Arial"/>
          <w:b/>
          <w:bCs/>
          <w:color w:val="auto"/>
          <w:sz w:val="24"/>
          <w:szCs w:val="24"/>
        </w:rPr>
        <w:t>RESUMO</w:t>
      </w:r>
    </w:p>
    <w:p w14:paraId="53A2D905" w14:textId="6B051E73" w:rsidR="001A1C0D" w:rsidRDefault="002C296A" w:rsidP="00AF19DE">
      <w:pPr>
        <w:pStyle w:val="ArtigoFasul"/>
      </w:pPr>
      <w:r>
        <w:tab/>
      </w:r>
      <w:r w:rsidR="00CF5BE3">
        <w:t xml:space="preserve">Este artigo aborda </w:t>
      </w:r>
      <w:r w:rsidR="003B2A70">
        <w:t>a maneira pela qual empresas privadas tratam contabilmente eventuais condenações pecuniárias impostas pelo Tribunal de Contas da União (TCU). Por meio de uma análise exploratória de demonstrações contábeis de algumas empresas do setor de infraestrutura que sofreram condenações</w:t>
      </w:r>
      <w:r w:rsidR="001E3A27">
        <w:t xml:space="preserve"> de grande vulto financeiro por parte</w:t>
      </w:r>
      <w:r w:rsidR="003B2A70">
        <w:t xml:space="preserve"> do TCU, </w:t>
      </w:r>
      <w:r w:rsidR="00CB0766">
        <w:t>o estudo aborda se os débitos imputados receberam o tratamento de provisão ou de passivo contingente, conforme critérios estipulados n</w:t>
      </w:r>
      <w:r w:rsidR="00B36D67">
        <w:t xml:space="preserve">a Norma Brasileira de Contabilidade CPC 25 </w:t>
      </w:r>
      <w:r w:rsidR="001A1D1D">
        <w:t>–</w:t>
      </w:r>
      <w:r w:rsidR="00B36D67">
        <w:t xml:space="preserve"> </w:t>
      </w:r>
      <w:r w:rsidR="001A1D1D">
        <w:t>Provisões, passivos contingentes e ativos contingentes.</w:t>
      </w:r>
      <w:r w:rsidR="007D6138">
        <w:t xml:space="preserve"> Os resultados corroboram pesquisas anteriores no sentido de ser baixa a eficácia na cobrança de débitos imputados pelo TCU</w:t>
      </w:r>
      <w:r w:rsidR="00AF19DE">
        <w:t>. Outro achado da pesquisa foi a baixa transparência e disponibilidade das demonstrações contábeis de algumas das empresas da amostra, embora elas tenham natureza jurídica de sociedades anônimas.</w:t>
      </w:r>
    </w:p>
    <w:p w14:paraId="35552A79" w14:textId="37EF4085" w:rsidR="00FB219C" w:rsidRDefault="00FB219C" w:rsidP="00FB219C">
      <w:pPr>
        <w:rPr>
          <w:rFonts w:ascii="Arial" w:hAnsi="Arial" w:cs="Arial"/>
        </w:rPr>
      </w:pPr>
      <w:r w:rsidRPr="00583528">
        <w:rPr>
          <w:rFonts w:ascii="Arial" w:hAnsi="Arial" w:cs="Arial"/>
          <w:b/>
          <w:bCs/>
        </w:rPr>
        <w:t>Palavras-chave</w:t>
      </w:r>
      <w:r>
        <w:rPr>
          <w:rFonts w:ascii="Arial" w:hAnsi="Arial" w:cs="Arial"/>
        </w:rPr>
        <w:t>:</w:t>
      </w:r>
      <w:r w:rsidR="00583528">
        <w:rPr>
          <w:rFonts w:ascii="Arial" w:hAnsi="Arial" w:cs="Arial"/>
        </w:rPr>
        <w:t xml:space="preserve"> Tribunal de Contas da União;</w:t>
      </w:r>
      <w:r w:rsidR="00CF5BE3">
        <w:rPr>
          <w:rFonts w:ascii="Arial" w:hAnsi="Arial" w:cs="Arial"/>
        </w:rPr>
        <w:t xml:space="preserve"> Eficácia de condenações do TCU;</w:t>
      </w:r>
      <w:r w:rsidR="00583528">
        <w:rPr>
          <w:rFonts w:ascii="Arial" w:hAnsi="Arial" w:cs="Arial"/>
        </w:rPr>
        <w:t xml:space="preserve"> Tratamento contábil</w:t>
      </w:r>
      <w:r w:rsidR="00CF5BE3">
        <w:rPr>
          <w:rFonts w:ascii="Arial" w:hAnsi="Arial" w:cs="Arial"/>
        </w:rPr>
        <w:t>; Provisões; Passivo contingente.</w:t>
      </w:r>
    </w:p>
    <w:p w14:paraId="751DC1DF" w14:textId="77777777" w:rsidR="00FB219C" w:rsidRDefault="00FB219C" w:rsidP="00FB219C">
      <w:pPr>
        <w:rPr>
          <w:rFonts w:ascii="Arial" w:hAnsi="Arial" w:cs="Arial"/>
        </w:rPr>
      </w:pPr>
    </w:p>
    <w:p w14:paraId="3B6C7517" w14:textId="594E3BF7" w:rsidR="00FB219C" w:rsidRPr="00AF19DE" w:rsidRDefault="002D75FF" w:rsidP="00FB219C">
      <w:pPr>
        <w:pStyle w:val="Ttulo2"/>
        <w:numPr>
          <w:ilvl w:val="0"/>
          <w:numId w:val="1"/>
        </w:numPr>
        <w:ind w:left="0" w:firstLine="0"/>
        <w:rPr>
          <w:rFonts w:ascii="Arial" w:hAnsi="Arial" w:cs="Arial"/>
          <w:b/>
          <w:bCs/>
          <w:color w:val="auto"/>
          <w:sz w:val="24"/>
          <w:szCs w:val="24"/>
        </w:rPr>
      </w:pPr>
      <w:r w:rsidRPr="00AF19DE">
        <w:rPr>
          <w:rFonts w:ascii="Arial" w:hAnsi="Arial" w:cs="Arial"/>
          <w:b/>
          <w:bCs/>
          <w:color w:val="auto"/>
          <w:sz w:val="24"/>
          <w:szCs w:val="24"/>
        </w:rPr>
        <w:t>INTRODUÇÃO</w:t>
      </w:r>
    </w:p>
    <w:p w14:paraId="3A01E7AC" w14:textId="26DED1EE" w:rsidR="00386833" w:rsidRDefault="005F14DE" w:rsidP="00CE374F">
      <w:pPr>
        <w:pStyle w:val="ArtigoFasul"/>
        <w:ind w:firstLine="708"/>
      </w:pPr>
      <w:r>
        <w:t xml:space="preserve">O manejo de recursos públicos da União e de suas entidades da Administração Pública direta e indireta </w:t>
      </w:r>
      <w:r w:rsidR="0018451B">
        <w:t xml:space="preserve">conta com um </w:t>
      </w:r>
      <w:r w:rsidR="0079154F">
        <w:t>mecanismo de fiscalização contábil, financeira, or</w:t>
      </w:r>
      <w:r>
        <w:t>çamentária, operacional e patrimonial</w:t>
      </w:r>
      <w:r w:rsidR="00386833">
        <w:t>, conforme</w:t>
      </w:r>
      <w:r w:rsidR="0078780C">
        <w:t xml:space="preserve"> o</w:t>
      </w:r>
      <w:r w:rsidR="00AE2BDE">
        <w:t>s</w:t>
      </w:r>
      <w:r w:rsidR="0078780C">
        <w:t xml:space="preserve"> art. 70</w:t>
      </w:r>
      <w:r w:rsidR="00AE2BDE">
        <w:t xml:space="preserve"> e 71</w:t>
      </w:r>
      <w:r w:rsidR="00386833">
        <w:t xml:space="preserve"> </w:t>
      </w:r>
      <w:r w:rsidR="0078780C">
        <w:t>d</w:t>
      </w:r>
      <w:r w:rsidR="00386833">
        <w:t>a Constituição Federal de 1988 (BRASIL, 1988).</w:t>
      </w:r>
      <w:r w:rsidR="00CE374F">
        <w:t xml:space="preserve"> </w:t>
      </w:r>
      <w:r w:rsidR="00523AA0">
        <w:t xml:space="preserve">O </w:t>
      </w:r>
      <w:r w:rsidR="00386833">
        <w:t>Congresso Nacional</w:t>
      </w:r>
      <w:r w:rsidR="00523AA0">
        <w:t xml:space="preserve"> é responsável para realizar essa fiscalização</w:t>
      </w:r>
      <w:r w:rsidR="00386833">
        <w:t xml:space="preserve">, </w:t>
      </w:r>
      <w:r w:rsidR="002F0675">
        <w:t>em sede de controle externo</w:t>
      </w:r>
      <w:r w:rsidR="00523AA0">
        <w:t xml:space="preserve">. De igual </w:t>
      </w:r>
      <w:r w:rsidR="00523AA0">
        <w:lastRenderedPageBreak/>
        <w:t>modo</w:t>
      </w:r>
      <w:r w:rsidR="00CE374F">
        <w:t>,</w:t>
      </w:r>
      <w:r w:rsidR="00523AA0">
        <w:t xml:space="preserve"> o sistema de</w:t>
      </w:r>
      <w:r w:rsidR="00CE374F">
        <w:t xml:space="preserve"> controle interno dos </w:t>
      </w:r>
      <w:r w:rsidR="00B225D8">
        <w:t>demais Poderes da União</w:t>
      </w:r>
      <w:r w:rsidR="005E044F">
        <w:t xml:space="preserve"> </w:t>
      </w:r>
      <w:r w:rsidR="00523AA0">
        <w:t xml:space="preserve">desempenha um papel </w:t>
      </w:r>
      <w:r w:rsidR="0023544C">
        <w:t xml:space="preserve">quanto à referida fiscalização </w:t>
      </w:r>
      <w:r w:rsidR="005E044F">
        <w:t>(BRASIL, 1988)</w:t>
      </w:r>
      <w:r w:rsidR="00CE374F">
        <w:t>.</w:t>
      </w:r>
    </w:p>
    <w:p w14:paraId="6AB26465" w14:textId="586B1C5F" w:rsidR="00CE374F" w:rsidRDefault="005554A3" w:rsidP="00CE374F">
      <w:pPr>
        <w:pStyle w:val="ArtigoFasul"/>
        <w:ind w:firstLine="708"/>
      </w:pPr>
      <w:r>
        <w:t xml:space="preserve">A fim de exercer </w:t>
      </w:r>
      <w:r w:rsidR="00616889">
        <w:t>essa atribuição de</w:t>
      </w:r>
      <w:r w:rsidR="00CE374F">
        <w:t xml:space="preserve"> controle externo</w:t>
      </w:r>
      <w:r w:rsidR="00616889">
        <w:t>, o Congresso Nacional conta com o auxílio do Tribunal de Contas da União (TCU), o qual detém a competência</w:t>
      </w:r>
      <w:r w:rsidR="00B86410">
        <w:t xml:space="preserve"> constitucional</w:t>
      </w:r>
      <w:r w:rsidR="00616889">
        <w:t xml:space="preserve"> de julgar as contas dos administradores e demais responsáveis pelos recursos públicos federais</w:t>
      </w:r>
      <w:r w:rsidR="00B86410">
        <w:t xml:space="preserve"> e daqueles que derem causa a prejuízo</w:t>
      </w:r>
      <w:r w:rsidR="00D15C73">
        <w:t>s ou danos</w:t>
      </w:r>
      <w:r w:rsidR="00B86410">
        <w:t xml:space="preserve"> aos cofres públicos</w:t>
      </w:r>
      <w:r w:rsidR="00AE2BDE">
        <w:t>, conforme art. 71 da C</w:t>
      </w:r>
      <w:r w:rsidR="00E95E44">
        <w:t>onstituição Federal de 1988</w:t>
      </w:r>
      <w:r w:rsidR="00B86410">
        <w:t xml:space="preserve"> (BRASIL, 1988).</w:t>
      </w:r>
    </w:p>
    <w:p w14:paraId="728CA36A" w14:textId="08178D29" w:rsidR="00DD35D5" w:rsidRDefault="00E95E44" w:rsidP="004631DF">
      <w:pPr>
        <w:pStyle w:val="ArtigoFasul"/>
        <w:ind w:firstLine="708"/>
      </w:pPr>
      <w:r>
        <w:t>Ainda d</w:t>
      </w:r>
      <w:r w:rsidR="009A495E">
        <w:t>e acordo com o texto da Constituição Federal de 1988</w:t>
      </w:r>
      <w:r w:rsidR="006E1E60">
        <w:t xml:space="preserve"> – art. 71, </w:t>
      </w:r>
      <w:r w:rsidR="006E1E60">
        <w:rPr>
          <w:rFonts w:ascii="Calibri" w:hAnsi="Calibri" w:cs="Calibri"/>
        </w:rPr>
        <w:t>§</w:t>
      </w:r>
      <w:r w:rsidR="006E1E60">
        <w:t xml:space="preserve"> 3</w:t>
      </w:r>
      <w:r w:rsidR="006E1E60">
        <w:rPr>
          <w:sz w:val="26"/>
          <w:szCs w:val="24"/>
        </w:rPr>
        <w:t>º</w:t>
      </w:r>
      <w:r w:rsidR="009A495E">
        <w:t>, as deliberações do TCU</w:t>
      </w:r>
      <w:r w:rsidR="00E562E8">
        <w:t xml:space="preserve"> </w:t>
      </w:r>
      <w:r w:rsidR="009A495E">
        <w:t xml:space="preserve">que </w:t>
      </w:r>
      <w:r w:rsidR="00F465DA">
        <w:t xml:space="preserve">imputem </w:t>
      </w:r>
      <w:r w:rsidR="009A495E">
        <w:t>débito ou</w:t>
      </w:r>
      <w:r w:rsidR="00F465DA">
        <w:t xml:space="preserve"> apliquem</w:t>
      </w:r>
      <w:r w:rsidR="009A495E">
        <w:t xml:space="preserve"> multa </w:t>
      </w:r>
      <w:r w:rsidR="00520CA8">
        <w:t>“</w:t>
      </w:r>
      <w:r w:rsidR="009A495E">
        <w:t>terão eficácia de título executivo</w:t>
      </w:r>
      <w:r w:rsidR="00520CA8">
        <w:t>”</w:t>
      </w:r>
      <w:r w:rsidR="009A495E">
        <w:t xml:space="preserve"> (BRASIL, 1988), ou seja, </w:t>
      </w:r>
      <w:r w:rsidR="00A2524E">
        <w:t xml:space="preserve">uma eventual condenação </w:t>
      </w:r>
      <w:r w:rsidR="003C752B">
        <w:t>pecuniária proferida pelo TCU em desfavor de um responsável pode ser</w:t>
      </w:r>
      <w:r w:rsidR="00DD35D5">
        <w:t xml:space="preserve"> diretamente</w:t>
      </w:r>
      <w:r w:rsidR="003C752B">
        <w:t xml:space="preserve"> objeto de ação judicial de cobrança</w:t>
      </w:r>
      <w:r w:rsidR="002471F7">
        <w:t xml:space="preserve"> executiva</w:t>
      </w:r>
      <w:r w:rsidR="003C752B">
        <w:t xml:space="preserve"> por parte do órgão ou entidade que tenha sofrido o prejuízo</w:t>
      </w:r>
      <w:r w:rsidR="00B9099B">
        <w:t xml:space="preserve">, caso o responsável não </w:t>
      </w:r>
      <w:r w:rsidR="009365B5">
        <w:t>haja adimplido a dívida perante o próprio TCU</w:t>
      </w:r>
      <w:r w:rsidR="004631DF">
        <w:t xml:space="preserve">, </w:t>
      </w:r>
      <w:r w:rsidR="00211118">
        <w:t xml:space="preserve">não havendo necessidade </w:t>
      </w:r>
      <w:r w:rsidR="00D3402E">
        <w:t xml:space="preserve">de </w:t>
      </w:r>
      <w:r w:rsidR="002471F7">
        <w:t>re</w:t>
      </w:r>
      <w:r w:rsidR="00D3402E">
        <w:t>discussã</w:t>
      </w:r>
      <w:r w:rsidR="002471F7">
        <w:t>o judicial acerca da existência ou não da dívida.</w:t>
      </w:r>
    </w:p>
    <w:p w14:paraId="48512EED" w14:textId="02EB6913" w:rsidR="00F94055" w:rsidRDefault="005F3D5A" w:rsidP="004631DF">
      <w:pPr>
        <w:pStyle w:val="ArtigoFasul"/>
        <w:ind w:firstLine="708"/>
      </w:pPr>
      <w:r>
        <w:t>D</w:t>
      </w:r>
      <w:r w:rsidR="00D72D1B">
        <w:t>o ponto de vista contábil</w:t>
      </w:r>
      <w:r>
        <w:t xml:space="preserve">, tendo em vista a liquidez e o grau de </w:t>
      </w:r>
      <w:r w:rsidR="00BF0251">
        <w:t xml:space="preserve">eficácia </w:t>
      </w:r>
      <w:r w:rsidR="00DC3646">
        <w:t>jurídica do acórdão condenatório do TCU</w:t>
      </w:r>
      <w:r w:rsidR="00D72D1B">
        <w:t xml:space="preserve">, eventual </w:t>
      </w:r>
      <w:r w:rsidR="007D4EBE">
        <w:t xml:space="preserve">entidade </w:t>
      </w:r>
      <w:r w:rsidR="00D72D1B">
        <w:t>responsável condenad</w:t>
      </w:r>
      <w:r w:rsidR="007D4EBE">
        <w:t>a</w:t>
      </w:r>
      <w:r w:rsidR="00DC3646">
        <w:t xml:space="preserve"> pelo Tribunal de Contas</w:t>
      </w:r>
      <w:r w:rsidR="00D72D1B">
        <w:t xml:space="preserve"> a</w:t>
      </w:r>
      <w:r w:rsidR="007D4EBE">
        <w:t xml:space="preserve"> ressarcir o erário </w:t>
      </w:r>
      <w:r w:rsidR="00E672FC">
        <w:t>poderia</w:t>
      </w:r>
      <w:r w:rsidR="007D4EBE">
        <w:t xml:space="preserve"> incluir essa dívida</w:t>
      </w:r>
      <w:r w:rsidR="00E672FC">
        <w:t xml:space="preserve"> como uma pro</w:t>
      </w:r>
      <w:r w:rsidR="00714868">
        <w:t>visã</w:t>
      </w:r>
      <w:r w:rsidR="00E672FC">
        <w:t>o</w:t>
      </w:r>
      <w:r w:rsidR="00E62C7F">
        <w:t xml:space="preserve"> </w:t>
      </w:r>
      <w:r w:rsidR="00E672FC">
        <w:t>ou como um</w:t>
      </w:r>
      <w:r w:rsidR="00C108F1">
        <w:t xml:space="preserve"> passivo contingente</w:t>
      </w:r>
      <w:r w:rsidR="00D93494">
        <w:t xml:space="preserve">, considerando os conceitos extraídos do </w:t>
      </w:r>
      <w:r w:rsidR="0023544C">
        <w:t>“</w:t>
      </w:r>
      <w:r w:rsidR="00C12B61">
        <w:t>Pronunciamento Técnico CPC 25 – Provisões, Passivos Contingentes e Ativos Contingentes</w:t>
      </w:r>
      <w:r w:rsidR="0023544C">
        <w:t>”</w:t>
      </w:r>
      <w:r w:rsidR="00C12B61">
        <w:t xml:space="preserve"> (</w:t>
      </w:r>
      <w:r w:rsidR="000E641A">
        <w:t xml:space="preserve">CPC, </w:t>
      </w:r>
      <w:r w:rsidR="007D252F">
        <w:t xml:space="preserve">2009 </w:t>
      </w:r>
      <w:r w:rsidR="007D252F" w:rsidRPr="007D252F">
        <w:t>apud</w:t>
      </w:r>
      <w:r w:rsidR="007D252F">
        <w:t xml:space="preserve"> </w:t>
      </w:r>
      <w:r w:rsidR="004211BD">
        <w:t>PORCIÚNCULA JR.</w:t>
      </w:r>
      <w:r w:rsidR="000E641A">
        <w:t>, 2020)</w:t>
      </w:r>
      <w:r w:rsidR="00552BC2">
        <w:t>.</w:t>
      </w:r>
    </w:p>
    <w:p w14:paraId="731AE6AE" w14:textId="717AFFE6" w:rsidR="002C1DC5" w:rsidRDefault="002C1DC5" w:rsidP="002C1DC5">
      <w:pPr>
        <w:pStyle w:val="ArtigoFasul"/>
        <w:ind w:firstLine="708"/>
      </w:pPr>
      <w:r>
        <w:t xml:space="preserve">Conforme extraído do CPC 25, as provisões se destinam a incluir no balanço patrimonial da entidade eventuais </w:t>
      </w:r>
      <w:r w:rsidR="003A46C6">
        <w:t>“</w:t>
      </w:r>
      <w:r>
        <w:t>obrigações presentes e em que seja provável uma saída de recursos para sua liquidação</w:t>
      </w:r>
      <w:r w:rsidR="003A46C6">
        <w:t>”</w:t>
      </w:r>
      <w:r w:rsidRPr="002C1DC5">
        <w:t xml:space="preserve"> </w:t>
      </w:r>
      <w:r>
        <w:t xml:space="preserve">(CPC, 2009 </w:t>
      </w:r>
      <w:r w:rsidRPr="007D252F">
        <w:t>apud</w:t>
      </w:r>
      <w:r>
        <w:t xml:space="preserve"> PORCIÚNCULA JR., 20</w:t>
      </w:r>
      <w:r w:rsidR="00E82049">
        <w:t>20</w:t>
      </w:r>
      <w:r>
        <w:t>).</w:t>
      </w:r>
    </w:p>
    <w:p w14:paraId="19CA7732" w14:textId="5FBB7267" w:rsidR="002C1DC5" w:rsidRDefault="002C1DC5" w:rsidP="002C1DC5">
      <w:pPr>
        <w:pStyle w:val="ArtigoFasul"/>
        <w:ind w:firstLine="708"/>
      </w:pPr>
      <w:r>
        <w:t xml:space="preserve">Por sua vez, </w:t>
      </w:r>
      <w:r w:rsidR="0060673D">
        <w:t xml:space="preserve">o </w:t>
      </w:r>
      <w:r w:rsidR="00E80BDE">
        <w:t>passivo contingente é</w:t>
      </w:r>
      <w:r w:rsidR="00D874A0">
        <w:t>, conforme exposto por Porciúncula Jr. (2020)</w:t>
      </w:r>
      <w:r>
        <w:t>:</w:t>
      </w:r>
    </w:p>
    <w:p w14:paraId="67909493" w14:textId="569223A5" w:rsidR="00E80BDE" w:rsidRDefault="002C1DC5" w:rsidP="002C1DC5">
      <w:pPr>
        <w:pStyle w:val="ArtigoFasul"/>
        <w:numPr>
          <w:ilvl w:val="0"/>
          <w:numId w:val="4"/>
        </w:numPr>
      </w:pPr>
      <w:r>
        <w:t xml:space="preserve">uma obrigação possível </w:t>
      </w:r>
      <w:r w:rsidR="005E789D">
        <w:t>relacionada a</w:t>
      </w:r>
      <w:r>
        <w:t xml:space="preserve"> eventos passados, cuja existência </w:t>
      </w:r>
      <w:r w:rsidR="008D72C1">
        <w:t>depende de</w:t>
      </w:r>
      <w:r w:rsidR="004A5DEC">
        <w:t xml:space="preserve"> acontecimentos fu</w:t>
      </w:r>
      <w:r w:rsidR="00151658">
        <w:t>turos</w:t>
      </w:r>
      <w:r w:rsidR="005E789D">
        <w:t xml:space="preserve"> incertos</w:t>
      </w:r>
      <w:r w:rsidR="00E02F14">
        <w:t xml:space="preserve"> e</w:t>
      </w:r>
      <w:r w:rsidR="00151658">
        <w:t xml:space="preserve"> </w:t>
      </w:r>
      <w:r w:rsidR="00E02F14">
        <w:t>alheios à entidade</w:t>
      </w:r>
      <w:r>
        <w:t>;</w:t>
      </w:r>
      <w:r w:rsidR="009066EF">
        <w:t xml:space="preserve"> (PORCIÚNCULA JR., 2020</w:t>
      </w:r>
      <w:r w:rsidR="00D874A0">
        <w:t>, p. 63</w:t>
      </w:r>
      <w:r w:rsidR="009066EF">
        <w:t>)</w:t>
      </w:r>
      <w:r>
        <w:t xml:space="preserve"> ou</w:t>
      </w:r>
    </w:p>
    <w:p w14:paraId="2D6D0A1E" w14:textId="77777777" w:rsidR="00D827F6" w:rsidRDefault="00376A77" w:rsidP="009066EF">
      <w:pPr>
        <w:pStyle w:val="ArtigoFasul"/>
        <w:numPr>
          <w:ilvl w:val="0"/>
          <w:numId w:val="4"/>
        </w:numPr>
      </w:pPr>
      <w:r>
        <w:t xml:space="preserve">uma obrigação presente </w:t>
      </w:r>
      <w:r w:rsidR="00D827F6">
        <w:t>referente a eventos passados</w:t>
      </w:r>
      <w:r>
        <w:t>, mas que não é</w:t>
      </w:r>
      <w:r w:rsidR="00D827F6">
        <w:t xml:space="preserve"> incluída no balanço patrimonial</w:t>
      </w:r>
      <w:r>
        <w:t xml:space="preserve"> </w:t>
      </w:r>
      <w:r w:rsidR="00D827F6">
        <w:t>em razão de</w:t>
      </w:r>
      <w:r>
        <w:t xml:space="preserve">: </w:t>
      </w:r>
    </w:p>
    <w:p w14:paraId="49E0D080" w14:textId="77777777" w:rsidR="00675B45" w:rsidRDefault="00A45D46" w:rsidP="00A45D46">
      <w:pPr>
        <w:pStyle w:val="ArtigoFasul"/>
        <w:ind w:left="1068"/>
      </w:pPr>
      <w:r>
        <w:lastRenderedPageBreak/>
        <w:t>b.1</w:t>
      </w:r>
      <w:r w:rsidR="000A15F6">
        <w:t>) não é</w:t>
      </w:r>
      <w:r w:rsidR="00376A77">
        <w:t xml:space="preserve"> provável que </w:t>
      </w:r>
      <w:r w:rsidR="0014250B">
        <w:t xml:space="preserve">haja um desembolso de recursos </w:t>
      </w:r>
      <w:r w:rsidR="00376A77">
        <w:t xml:space="preserve">para </w:t>
      </w:r>
      <w:r w:rsidR="005D58D2">
        <w:t>cumprir</w:t>
      </w:r>
      <w:r w:rsidR="00376A77">
        <w:t xml:space="preserve"> a obrigação; ou </w:t>
      </w:r>
    </w:p>
    <w:p w14:paraId="1D8C05FC" w14:textId="52A2EA53" w:rsidR="009066EF" w:rsidRDefault="00675B45" w:rsidP="00A45D46">
      <w:pPr>
        <w:pStyle w:val="ArtigoFasul"/>
        <w:ind w:left="1068"/>
      </w:pPr>
      <w:r>
        <w:t>b.2</w:t>
      </w:r>
      <w:r w:rsidR="00376A77">
        <w:t xml:space="preserve">) </w:t>
      </w:r>
      <w:r w:rsidR="005D58D2">
        <w:t>não há confiabilidade n</w:t>
      </w:r>
      <w:r w:rsidR="00194C44">
        <w:t>o valor aferido para a obrigação</w:t>
      </w:r>
      <w:r w:rsidR="00376A77">
        <w:t>.</w:t>
      </w:r>
      <w:r w:rsidR="009066EF">
        <w:t xml:space="preserve"> (PORCIÚNCULA JR., 2020</w:t>
      </w:r>
      <w:r w:rsidR="00D874A0">
        <w:t>, p. 63</w:t>
      </w:r>
      <w:r w:rsidR="009066EF">
        <w:t>)</w:t>
      </w:r>
    </w:p>
    <w:p w14:paraId="2B43966B" w14:textId="4ED9C930" w:rsidR="00ED08AD" w:rsidRDefault="00D874A0" w:rsidP="00ED08AD">
      <w:pPr>
        <w:pStyle w:val="ArtigoFasul"/>
        <w:ind w:firstLine="708"/>
      </w:pPr>
      <w:r>
        <w:t>De acordo com Silva e Antonovz (2018), a</w:t>
      </w:r>
      <w:r w:rsidR="00D2304A">
        <w:t xml:space="preserve">s provisões podem ser incluídas nas contas de passivo circulante ou não circulante do balanço patrimonial, a depender </w:t>
      </w:r>
      <w:r w:rsidR="000B1B42">
        <w:t>do prazo em que a obrigação terá de ser adimplida</w:t>
      </w:r>
      <w:r w:rsidR="00F35A14">
        <w:t>.</w:t>
      </w:r>
      <w:r w:rsidR="00ED08AD">
        <w:t xml:space="preserve"> </w:t>
      </w:r>
    </w:p>
    <w:p w14:paraId="2F5A58BD" w14:textId="41A098E7" w:rsidR="00ED08AD" w:rsidRPr="007D252F" w:rsidRDefault="00ED08AD" w:rsidP="00ED08AD">
      <w:pPr>
        <w:pStyle w:val="ArtigoFasul"/>
        <w:ind w:firstLine="708"/>
      </w:pPr>
      <w:r>
        <w:t>Já o passivo contingente não requer nenhum reconhecimento no balanço patrimonial</w:t>
      </w:r>
      <w:r w:rsidR="00300A00">
        <w:t xml:space="preserve">, de acordo com Porciúncula Jr. (2020), ou seja, </w:t>
      </w:r>
      <w:r w:rsidR="00114D4B">
        <w:t>s</w:t>
      </w:r>
      <w:r>
        <w:t xml:space="preserve">ua divulgação </w:t>
      </w:r>
      <w:r w:rsidR="00C32A89">
        <w:t>deve ocorrer por meio de notas explicativas</w:t>
      </w:r>
      <w:r w:rsidR="00300A00">
        <w:t xml:space="preserve"> (PORCIÚNCULA JR., 2020)</w:t>
      </w:r>
      <w:r w:rsidR="00C32A89">
        <w:t>.</w:t>
      </w:r>
    </w:p>
    <w:p w14:paraId="012756B0" w14:textId="11EEA1A3" w:rsidR="00552BC2" w:rsidRDefault="00552BC2" w:rsidP="00552BC2">
      <w:pPr>
        <w:pStyle w:val="ArtigoFasul"/>
        <w:ind w:firstLine="708"/>
      </w:pPr>
      <w:r>
        <w:t>De todo modo, a</w:t>
      </w:r>
      <w:r w:rsidR="00BF0251">
        <w:t>pesar d</w:t>
      </w:r>
      <w:r w:rsidR="00341EF3">
        <w:t xml:space="preserve">e a </w:t>
      </w:r>
      <w:r w:rsidR="00EC4FB7">
        <w:t>Constituição Federal de 1988</w:t>
      </w:r>
      <w:r w:rsidR="00341EF3">
        <w:t xml:space="preserve"> conferir eficácia de título executivo às decisões do TCU e embora isso </w:t>
      </w:r>
      <w:r w:rsidR="00BF0251">
        <w:t>represent</w:t>
      </w:r>
      <w:r w:rsidR="00341EF3">
        <w:t>e</w:t>
      </w:r>
      <w:r w:rsidR="00BF0251">
        <w:t xml:space="preserve"> importante garantia de efetividade na busca de ressarcimento ao erário público em face de eventuais irregularidades cometidas, tanto Nascimento (2012) quanto Martinez (2006) indicaram que a eficácia na execução judicial dos acórdãos condenatórios do TCU não é alta.</w:t>
      </w:r>
    </w:p>
    <w:p w14:paraId="12CE032A" w14:textId="07F09BA7" w:rsidR="00A06C3B" w:rsidRDefault="00562F23" w:rsidP="00552BC2">
      <w:pPr>
        <w:pStyle w:val="ArtigoFasul"/>
        <w:ind w:firstLine="708"/>
      </w:pPr>
      <w:r>
        <w:t xml:space="preserve">De igual modo, Smith (2022) indica que, nos Estados Unidos da América, </w:t>
      </w:r>
      <w:r w:rsidR="00B80E71">
        <w:t>a busca do ressarcimento ao erário após o dano ter sido materializado é de baixa eficácia.</w:t>
      </w:r>
    </w:p>
    <w:p w14:paraId="7F421A0C" w14:textId="24A6BDC2" w:rsidR="00552BC2" w:rsidRDefault="00951D53" w:rsidP="00552BC2">
      <w:pPr>
        <w:pStyle w:val="ArtigoFasul"/>
        <w:ind w:firstLine="708"/>
      </w:pPr>
      <w:r>
        <w:t xml:space="preserve">Portanto, surge uma questão de pesquisa </w:t>
      </w:r>
      <w:r w:rsidR="001F3B3E">
        <w:t>para</w:t>
      </w:r>
      <w:r>
        <w:t xml:space="preserve"> avaliar</w:t>
      </w:r>
      <w:r w:rsidR="00EA45F0">
        <w:t xml:space="preserve"> como eventuais condenações a ressarcir ao erário federal proferidas pelo TCU</w:t>
      </w:r>
      <w:r>
        <w:t xml:space="preserve"> </w:t>
      </w:r>
      <w:r w:rsidR="00EA45F0">
        <w:t xml:space="preserve">foram </w:t>
      </w:r>
      <w:r w:rsidR="00EA5E30">
        <w:t xml:space="preserve">tratadas em </w:t>
      </w:r>
      <w:r>
        <w:t xml:space="preserve">demonstrações contábeis de empresas </w:t>
      </w:r>
      <w:r w:rsidR="00EA5E30">
        <w:t xml:space="preserve">que tenham </w:t>
      </w:r>
      <w:r w:rsidR="00565095">
        <w:t>sido responsabilizadas pelo Tribunal de Contas.</w:t>
      </w:r>
    </w:p>
    <w:p w14:paraId="2986E6E1" w14:textId="03F4A353" w:rsidR="00BF0251" w:rsidRDefault="00A75087" w:rsidP="00EA7374">
      <w:pPr>
        <w:pStyle w:val="ArtigoFasul"/>
        <w:ind w:firstLine="708"/>
      </w:pPr>
      <w:r>
        <w:t xml:space="preserve">Colher e avaliar esses dados das demonstrações contábeis de empresas privadas permitirá </w:t>
      </w:r>
      <w:r w:rsidR="00F40394">
        <w:t xml:space="preserve">fazer uma análise </w:t>
      </w:r>
      <w:r w:rsidR="00EA7374">
        <w:t>de qual é a expectativa do mercado privado relativamente a condenações emanadas do TCU.</w:t>
      </w:r>
    </w:p>
    <w:p w14:paraId="1B985895" w14:textId="4D9AFFF0" w:rsidR="002471F7" w:rsidRDefault="00EA7374" w:rsidP="007827A4">
      <w:pPr>
        <w:pStyle w:val="ArtigoFasul"/>
        <w:ind w:firstLine="708"/>
      </w:pPr>
      <w:r>
        <w:t>Vale destacar que, nos</w:t>
      </w:r>
      <w:r w:rsidR="000675FF">
        <w:t xml:space="preserve"> últimos anos, </w:t>
      </w:r>
      <w:r>
        <w:t xml:space="preserve">diversas empresas de grande porte do setor de infraestrutura </w:t>
      </w:r>
      <w:r w:rsidR="000065C6">
        <w:t>sofreram condenações pecuniárias por parte do TCU visando ressarcir os cofres de órgãos e entidades da Administração Pública federal direta e indireta</w:t>
      </w:r>
      <w:r w:rsidR="00A321E1">
        <w:t xml:space="preserve">, principalmente empresas públicas e sociedades de economia mista que atuam no setor, a exemplo da Petrobras, </w:t>
      </w:r>
      <w:r w:rsidR="00BF38A6">
        <w:t>Eletronuclear e a Infra S.A. – anterior Valec (BRASIL, 2020).</w:t>
      </w:r>
    </w:p>
    <w:p w14:paraId="1F1FB35A" w14:textId="66C8AB53" w:rsidR="003C752B" w:rsidRDefault="003C752B" w:rsidP="00CE374F">
      <w:pPr>
        <w:pStyle w:val="ArtigoFasul"/>
        <w:ind w:firstLine="708"/>
      </w:pPr>
      <w:r>
        <w:lastRenderedPageBreak/>
        <w:t xml:space="preserve">Por exemplo, </w:t>
      </w:r>
      <w:r w:rsidR="00FD622B">
        <w:t>no caso do contrato de construção da</w:t>
      </w:r>
      <w:r w:rsidR="008310CD">
        <w:t>s Unidades de Destilação Atmosférica (UDA) e de Hidrotratamento (UHDT)</w:t>
      </w:r>
      <w:r w:rsidR="00FD622B">
        <w:t xml:space="preserve">, </w:t>
      </w:r>
      <w:r w:rsidR="008310CD">
        <w:t xml:space="preserve">todas unidades de produção </w:t>
      </w:r>
      <w:r w:rsidR="00CC4938">
        <w:t>vinculad</w:t>
      </w:r>
      <w:r w:rsidR="008310CD">
        <w:t>as à Refinaria Abreu e Lima (RNEST)</w:t>
      </w:r>
      <w:r w:rsidR="00CC4938">
        <w:t>, firmado pela Petrobras com</w:t>
      </w:r>
      <w:r w:rsidR="008310CD">
        <w:t xml:space="preserve"> um consórcio formado por</w:t>
      </w:r>
      <w:r w:rsidR="00CC4938">
        <w:t xml:space="preserve"> grandes empresas do setor de infraestrutura, foi calculado um débito total </w:t>
      </w:r>
      <w:r w:rsidR="00E5255C">
        <w:t>atualizado superior a R$ 1 bilhão (BRASIL, 2018).</w:t>
      </w:r>
    </w:p>
    <w:p w14:paraId="305DF398" w14:textId="2CFE2A25" w:rsidR="005513A4" w:rsidRDefault="00E73184" w:rsidP="00544AA1">
      <w:pPr>
        <w:pStyle w:val="ArtigoFasul"/>
        <w:ind w:firstLine="708"/>
      </w:pPr>
      <w:r>
        <w:t>Considerando que as empresas responsabilizadas</w:t>
      </w:r>
      <w:r w:rsidR="0013080F">
        <w:t xml:space="preserve"> em alguns dos casos</w:t>
      </w:r>
      <w:r w:rsidR="00B05523">
        <w:t xml:space="preserve"> de maior materialidade</w:t>
      </w:r>
      <w:r>
        <w:t xml:space="preserve"> são sociedades anônimas, cujas demonstrações contábeis </w:t>
      </w:r>
      <w:r w:rsidR="005A2D06">
        <w:t>devem ser</w:t>
      </w:r>
      <w:r>
        <w:t xml:space="preserve"> disponibilizadas publicamente</w:t>
      </w:r>
      <w:r w:rsidR="005A2D06">
        <w:t>, nos termos do</w:t>
      </w:r>
      <w:r w:rsidR="00FE70F8">
        <w:t>s</w:t>
      </w:r>
      <w:r w:rsidR="005A2D06">
        <w:t xml:space="preserve"> art. 176</w:t>
      </w:r>
      <w:r w:rsidR="00FE70F8">
        <w:t xml:space="preserve"> e 289</w:t>
      </w:r>
      <w:r w:rsidR="005A2D06">
        <w:t xml:space="preserve"> da Lei 6.404/1976</w:t>
      </w:r>
      <w:r w:rsidR="00265D0F">
        <w:t xml:space="preserve"> (BRASIL, 1976)</w:t>
      </w:r>
      <w:r w:rsidR="00B05523">
        <w:t xml:space="preserve">, </w:t>
      </w:r>
      <w:r w:rsidR="00544AA1">
        <w:t>é possível analisar de que maneira as condenações do TCU foram explicitadas nas referidas demonstrações contábeis.</w:t>
      </w:r>
    </w:p>
    <w:p w14:paraId="4B17206E" w14:textId="77777777" w:rsidR="00E92869" w:rsidRDefault="00E92869" w:rsidP="00FB219C"/>
    <w:p w14:paraId="0C290929" w14:textId="66DF7006" w:rsidR="00544AA1" w:rsidRPr="00544AA1" w:rsidRDefault="00E92869" w:rsidP="00544AA1">
      <w:pPr>
        <w:pStyle w:val="Ttulo3"/>
        <w:numPr>
          <w:ilvl w:val="1"/>
          <w:numId w:val="1"/>
        </w:numPr>
        <w:ind w:left="0" w:firstLine="0"/>
        <w:rPr>
          <w:rFonts w:ascii="Arial" w:hAnsi="Arial" w:cs="Arial"/>
          <w:b/>
          <w:bCs/>
          <w:color w:val="auto"/>
          <w:sz w:val="24"/>
          <w:szCs w:val="24"/>
        </w:rPr>
      </w:pPr>
      <w:r w:rsidRPr="009A1237">
        <w:rPr>
          <w:rFonts w:ascii="Arial" w:hAnsi="Arial" w:cs="Arial"/>
          <w:b/>
          <w:bCs/>
          <w:color w:val="auto"/>
          <w:sz w:val="24"/>
          <w:szCs w:val="24"/>
        </w:rPr>
        <w:t>Objetivo</w:t>
      </w:r>
    </w:p>
    <w:p w14:paraId="14F10D10" w14:textId="5A954A3E" w:rsidR="00544AA1" w:rsidRDefault="00917DBC" w:rsidP="00544AA1">
      <w:pPr>
        <w:pStyle w:val="ArtigoFasul"/>
        <w:ind w:firstLine="708"/>
      </w:pPr>
      <w:r>
        <w:t>Busca-se neste trabalho avaliar as demonstrações contábeis de algumas empresas de grande porte que tenham sofrido condenações financeiras transitadas em julgado pelo TCU</w:t>
      </w:r>
      <w:r w:rsidR="0091439F">
        <w:t xml:space="preserve"> no intuito de analisar qual tratamento é conferido a referidas condenações</w:t>
      </w:r>
      <w:r w:rsidR="00576FD2">
        <w:t>, isto é, se elas foram classificadas como provisões ou como passivos contingentes</w:t>
      </w:r>
      <w:r w:rsidR="0091439F">
        <w:t>.</w:t>
      </w:r>
    </w:p>
    <w:p w14:paraId="7683C69D" w14:textId="45B4F693" w:rsidR="005513A4" w:rsidRDefault="0091439F" w:rsidP="0091439F">
      <w:pPr>
        <w:pStyle w:val="ArtigoFasul"/>
        <w:ind w:firstLine="708"/>
      </w:pPr>
      <w:r>
        <w:t xml:space="preserve">Assim, busca-se </w:t>
      </w:r>
      <w:r w:rsidR="00BE5380">
        <w:t>introduzir</w:t>
      </w:r>
      <w:r>
        <w:t xml:space="preserve"> uma discussão preliminar de qual é a perspectiva do mercado privado no tocante à efetividade de eventuais condenações do TCU.</w:t>
      </w:r>
    </w:p>
    <w:p w14:paraId="7930ED23" w14:textId="1CA4D4BA" w:rsidR="001570BF" w:rsidRDefault="001570BF" w:rsidP="0091439F">
      <w:pPr>
        <w:pStyle w:val="ArtigoFasul"/>
        <w:ind w:firstLine="708"/>
      </w:pPr>
      <w:r>
        <w:t xml:space="preserve">Outra vertente objeto de análise é comparar o </w:t>
      </w:r>
      <w:r w:rsidR="006A6D7C">
        <w:t xml:space="preserve">referido </w:t>
      </w:r>
      <w:r>
        <w:t xml:space="preserve">tratamento contábil </w:t>
      </w:r>
      <w:r w:rsidR="006A6D7C">
        <w:t xml:space="preserve">dado a condenações do TCU com o que é conferido a eventuais acordos de leniência firmados pelas empresas, haja vista que parte das empresas componentes da amostra </w:t>
      </w:r>
      <w:r w:rsidR="0028478D">
        <w:t>celebraram avenças dessa natureza com outros órgãos de controle, tais como o Ministério Público Federal (MPF) e a Controladoria-Geral da União (CGU), em conjunto com a Advocacia-Geral da União (AGU).</w:t>
      </w:r>
    </w:p>
    <w:p w14:paraId="5A330605" w14:textId="4DECD1F5" w:rsidR="0028478D" w:rsidRDefault="0028478D" w:rsidP="0091439F">
      <w:pPr>
        <w:pStyle w:val="ArtigoFasul"/>
        <w:ind w:firstLine="708"/>
      </w:pPr>
      <w:r>
        <w:t xml:space="preserve">Dessa maneira, é possível ter </w:t>
      </w:r>
      <w:r w:rsidR="00CB16A8">
        <w:t xml:space="preserve">dados comparativos de qual é a expectativa </w:t>
      </w:r>
      <w:r w:rsidR="000A15F6">
        <w:t>dessas empresas</w:t>
      </w:r>
      <w:r w:rsidR="00CB16A8">
        <w:t xml:space="preserve"> relativamente à eficácia de eventuais acordos de leniência firmados com o MPF e/ou com a CGU/AGU.</w:t>
      </w:r>
    </w:p>
    <w:p w14:paraId="57FEE91B" w14:textId="77777777" w:rsidR="00E92869" w:rsidRDefault="00E92869" w:rsidP="00FB219C"/>
    <w:p w14:paraId="7280B0CC" w14:textId="3512C91F" w:rsidR="00FB219C" w:rsidRPr="00AF19DE" w:rsidRDefault="009A1237" w:rsidP="009A1237">
      <w:pPr>
        <w:pStyle w:val="Ttulo2"/>
        <w:numPr>
          <w:ilvl w:val="0"/>
          <w:numId w:val="1"/>
        </w:numPr>
        <w:ind w:left="0" w:firstLine="0"/>
        <w:rPr>
          <w:rFonts w:ascii="Arial" w:hAnsi="Arial" w:cs="Arial"/>
          <w:b/>
          <w:bCs/>
          <w:color w:val="auto"/>
          <w:sz w:val="24"/>
          <w:szCs w:val="24"/>
        </w:rPr>
      </w:pPr>
      <w:r w:rsidRPr="00AF19DE">
        <w:rPr>
          <w:rFonts w:ascii="Arial" w:hAnsi="Arial" w:cs="Arial"/>
          <w:b/>
          <w:bCs/>
          <w:color w:val="auto"/>
          <w:sz w:val="24"/>
          <w:szCs w:val="24"/>
        </w:rPr>
        <w:lastRenderedPageBreak/>
        <w:t>DESENVOLVIMENTO</w:t>
      </w:r>
    </w:p>
    <w:p w14:paraId="2DCC045E" w14:textId="7E870DB9" w:rsidR="00BE5380" w:rsidRPr="00BE5380" w:rsidRDefault="00773DC1" w:rsidP="005513A4">
      <w:pPr>
        <w:pStyle w:val="Ttulo3"/>
        <w:numPr>
          <w:ilvl w:val="1"/>
          <w:numId w:val="1"/>
        </w:numPr>
        <w:ind w:left="0" w:firstLine="0"/>
        <w:rPr>
          <w:rFonts w:ascii="Arial" w:hAnsi="Arial" w:cs="Arial"/>
          <w:b/>
          <w:bCs/>
          <w:color w:val="auto"/>
          <w:sz w:val="24"/>
          <w:szCs w:val="24"/>
        </w:rPr>
      </w:pPr>
      <w:r w:rsidRPr="009A1237">
        <w:rPr>
          <w:rFonts w:ascii="Arial" w:hAnsi="Arial" w:cs="Arial"/>
          <w:b/>
          <w:bCs/>
          <w:color w:val="auto"/>
          <w:sz w:val="24"/>
          <w:szCs w:val="24"/>
        </w:rPr>
        <w:t>Metodologia</w:t>
      </w:r>
    </w:p>
    <w:p w14:paraId="6B3C0B08" w14:textId="7347AC8B" w:rsidR="00BF411A" w:rsidRDefault="00931713" w:rsidP="00BF411A">
      <w:pPr>
        <w:pStyle w:val="ArtigoFasul"/>
        <w:ind w:firstLine="708"/>
      </w:pPr>
      <w:r>
        <w:t xml:space="preserve">Primeiramente, </w:t>
      </w:r>
      <w:r w:rsidR="00652E3A">
        <w:t xml:space="preserve">avaliando a lista de acórdãos expostos </w:t>
      </w:r>
      <w:r w:rsidR="00FE09EF">
        <w:t>na página “O TCU e a Lava Jato”</w:t>
      </w:r>
      <w:r w:rsidR="007B3733">
        <w:rPr>
          <w:rStyle w:val="Refdenotaderodap"/>
        </w:rPr>
        <w:footnoteReference w:id="3"/>
      </w:r>
      <w:r w:rsidR="00CB198C">
        <w:t>, elaborou-se uma lista das empresas que figuram como responsáveis</w:t>
      </w:r>
      <w:r w:rsidR="00863D94">
        <w:t>. Em seguida, analisou-se qual delas possui natureza de sociedade anônima, conforme tabela 1 a seguir:</w:t>
      </w:r>
    </w:p>
    <w:p w14:paraId="6F63E2EA" w14:textId="77777777" w:rsidR="00C067F6" w:rsidRDefault="00C067F6" w:rsidP="00965212">
      <w:pPr>
        <w:pStyle w:val="ArtigoFasul"/>
        <w:ind w:firstLine="708"/>
      </w:pPr>
    </w:p>
    <w:p w14:paraId="2775CFF8" w14:textId="6D781AE0" w:rsidR="00965212" w:rsidRPr="00DF1CCC" w:rsidRDefault="00965212" w:rsidP="00DF1CCC">
      <w:pPr>
        <w:pStyle w:val="Legenda"/>
        <w:keepNext/>
        <w:jc w:val="center"/>
        <w:rPr>
          <w:rFonts w:ascii="Arial" w:hAnsi="Arial" w:cs="Arial"/>
          <w:i w:val="0"/>
          <w:iCs w:val="0"/>
          <w:color w:val="auto"/>
          <w:sz w:val="24"/>
          <w:szCs w:val="24"/>
        </w:rPr>
      </w:pPr>
      <w:r w:rsidRPr="00DF1CCC">
        <w:rPr>
          <w:rFonts w:ascii="Arial" w:hAnsi="Arial" w:cs="Arial"/>
          <w:b/>
          <w:bCs/>
          <w:i w:val="0"/>
          <w:iCs w:val="0"/>
          <w:color w:val="auto"/>
          <w:sz w:val="24"/>
          <w:szCs w:val="24"/>
        </w:rPr>
        <w:t xml:space="preserve">Tabela </w:t>
      </w:r>
      <w:r w:rsidRPr="00DF1CCC">
        <w:rPr>
          <w:rFonts w:ascii="Arial" w:hAnsi="Arial" w:cs="Arial"/>
          <w:b/>
          <w:bCs/>
          <w:i w:val="0"/>
          <w:iCs w:val="0"/>
          <w:color w:val="auto"/>
          <w:sz w:val="24"/>
          <w:szCs w:val="24"/>
        </w:rPr>
        <w:fldChar w:fldCharType="begin"/>
      </w:r>
      <w:r w:rsidRPr="00DF1CCC">
        <w:rPr>
          <w:rFonts w:ascii="Arial" w:hAnsi="Arial" w:cs="Arial"/>
          <w:b/>
          <w:bCs/>
          <w:i w:val="0"/>
          <w:iCs w:val="0"/>
          <w:color w:val="auto"/>
          <w:sz w:val="24"/>
          <w:szCs w:val="24"/>
        </w:rPr>
        <w:instrText xml:space="preserve"> SEQ Tabela \* ARABIC </w:instrText>
      </w:r>
      <w:r w:rsidRPr="00DF1CCC">
        <w:rPr>
          <w:rFonts w:ascii="Arial" w:hAnsi="Arial" w:cs="Arial"/>
          <w:b/>
          <w:bCs/>
          <w:i w:val="0"/>
          <w:iCs w:val="0"/>
          <w:color w:val="auto"/>
          <w:sz w:val="24"/>
          <w:szCs w:val="24"/>
        </w:rPr>
        <w:fldChar w:fldCharType="separate"/>
      </w:r>
      <w:r w:rsidR="00671FB0">
        <w:rPr>
          <w:rFonts w:ascii="Arial" w:hAnsi="Arial" w:cs="Arial"/>
          <w:b/>
          <w:bCs/>
          <w:i w:val="0"/>
          <w:iCs w:val="0"/>
          <w:noProof/>
          <w:color w:val="auto"/>
          <w:sz w:val="24"/>
          <w:szCs w:val="24"/>
        </w:rPr>
        <w:t>1</w:t>
      </w:r>
      <w:r w:rsidRPr="00DF1CCC">
        <w:rPr>
          <w:rFonts w:ascii="Arial" w:hAnsi="Arial" w:cs="Arial"/>
          <w:b/>
          <w:bCs/>
          <w:i w:val="0"/>
          <w:iCs w:val="0"/>
          <w:color w:val="auto"/>
          <w:sz w:val="24"/>
          <w:szCs w:val="24"/>
        </w:rPr>
        <w:fldChar w:fldCharType="end"/>
      </w:r>
      <w:r w:rsidRPr="00DF1CCC">
        <w:rPr>
          <w:rFonts w:ascii="Arial" w:hAnsi="Arial" w:cs="Arial"/>
          <w:i w:val="0"/>
          <w:iCs w:val="0"/>
          <w:color w:val="auto"/>
          <w:sz w:val="24"/>
          <w:szCs w:val="24"/>
        </w:rPr>
        <w:t xml:space="preserve"> – Acórdãos do TCU citados na página “TCU e a Lava Jato” e respectivas empresas responsabilizadas</w:t>
      </w:r>
      <w:r w:rsidR="00DF1CCC" w:rsidRPr="00DF1CCC">
        <w:rPr>
          <w:rFonts w:ascii="Arial" w:hAnsi="Arial" w:cs="Arial"/>
          <w:i w:val="0"/>
          <w:iCs w:val="0"/>
          <w:color w:val="auto"/>
          <w:sz w:val="24"/>
          <w:szCs w:val="24"/>
        </w:rPr>
        <w:t xml:space="preserve"> e valores de débito imputados</w:t>
      </w:r>
    </w:p>
    <w:tbl>
      <w:tblPr>
        <w:tblW w:w="8364" w:type="dxa"/>
        <w:tblCellMar>
          <w:left w:w="70" w:type="dxa"/>
          <w:right w:w="70" w:type="dxa"/>
        </w:tblCellMar>
        <w:tblLook w:val="04A0" w:firstRow="1" w:lastRow="0" w:firstColumn="1" w:lastColumn="0" w:noHBand="0" w:noVBand="1"/>
      </w:tblPr>
      <w:tblGrid>
        <w:gridCol w:w="1355"/>
        <w:gridCol w:w="3686"/>
        <w:gridCol w:w="1516"/>
        <w:gridCol w:w="861"/>
        <w:gridCol w:w="1633"/>
      </w:tblGrid>
      <w:tr w:rsidR="002C6255" w:rsidRPr="004F0908" w14:paraId="6083A6F0" w14:textId="77777777" w:rsidTr="00C067F6">
        <w:trPr>
          <w:trHeight w:val="300"/>
          <w:tblHeader/>
        </w:trPr>
        <w:tc>
          <w:tcPr>
            <w:tcW w:w="1319" w:type="dxa"/>
            <w:tcBorders>
              <w:top w:val="single" w:sz="4" w:space="0" w:color="auto"/>
              <w:bottom w:val="single" w:sz="4" w:space="0" w:color="auto"/>
              <w:right w:val="single" w:sz="4" w:space="0" w:color="auto"/>
            </w:tcBorders>
            <w:shd w:val="clear" w:color="auto" w:fill="auto"/>
            <w:noWrap/>
            <w:vAlign w:val="center"/>
            <w:hideMark/>
          </w:tcPr>
          <w:p w14:paraId="7C8DF70D" w14:textId="77777777" w:rsidR="002C6255" w:rsidRPr="004F0908" w:rsidRDefault="002C6255" w:rsidP="004F0908">
            <w:pPr>
              <w:spacing w:after="0" w:line="240" w:lineRule="auto"/>
              <w:jc w:val="center"/>
              <w:rPr>
                <w:rFonts w:ascii="Arial" w:eastAsia="Times New Roman" w:hAnsi="Arial" w:cs="Arial"/>
                <w:b/>
                <w:bCs/>
                <w:color w:val="000000"/>
                <w:kern w:val="0"/>
                <w:sz w:val="24"/>
                <w:szCs w:val="24"/>
                <w:lang w:eastAsia="pt-BR"/>
                <w14:ligatures w14:val="none"/>
              </w:rPr>
            </w:pPr>
            <w:r w:rsidRPr="004F0908">
              <w:rPr>
                <w:rFonts w:ascii="Arial" w:eastAsia="Times New Roman" w:hAnsi="Arial" w:cs="Arial"/>
                <w:b/>
                <w:bCs/>
                <w:color w:val="000000"/>
                <w:kern w:val="0"/>
                <w:sz w:val="24"/>
                <w:szCs w:val="24"/>
                <w:lang w:eastAsia="pt-BR"/>
                <w14:ligatures w14:val="none"/>
              </w:rPr>
              <w:t>Acórdãos</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D4BB45E" w14:textId="77777777" w:rsidR="002C6255" w:rsidRPr="004F0908" w:rsidRDefault="002C6255" w:rsidP="004F0908">
            <w:pPr>
              <w:spacing w:after="0" w:line="240" w:lineRule="auto"/>
              <w:jc w:val="center"/>
              <w:rPr>
                <w:rFonts w:ascii="Arial" w:eastAsia="Times New Roman" w:hAnsi="Arial" w:cs="Arial"/>
                <w:b/>
                <w:bCs/>
                <w:color w:val="000000"/>
                <w:kern w:val="0"/>
                <w:sz w:val="24"/>
                <w:szCs w:val="24"/>
                <w:lang w:eastAsia="pt-BR"/>
                <w14:ligatures w14:val="none"/>
              </w:rPr>
            </w:pPr>
            <w:r w:rsidRPr="004F0908">
              <w:rPr>
                <w:rFonts w:ascii="Arial" w:eastAsia="Times New Roman" w:hAnsi="Arial" w:cs="Arial"/>
                <w:b/>
                <w:bCs/>
                <w:color w:val="000000"/>
                <w:kern w:val="0"/>
                <w:sz w:val="24"/>
                <w:szCs w:val="24"/>
                <w:lang w:eastAsia="pt-BR"/>
                <w14:ligatures w14:val="none"/>
              </w:rPr>
              <w:t>Empresas</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0C5363BA" w14:textId="77777777" w:rsidR="002C6255" w:rsidRPr="004F0908" w:rsidRDefault="002C6255" w:rsidP="004F0908">
            <w:pPr>
              <w:spacing w:after="0" w:line="240" w:lineRule="auto"/>
              <w:jc w:val="center"/>
              <w:rPr>
                <w:rFonts w:ascii="Arial" w:eastAsia="Times New Roman" w:hAnsi="Arial" w:cs="Arial"/>
                <w:b/>
                <w:bCs/>
                <w:color w:val="000000"/>
                <w:kern w:val="0"/>
                <w:sz w:val="24"/>
                <w:szCs w:val="24"/>
                <w:lang w:eastAsia="pt-BR"/>
                <w14:ligatures w14:val="none"/>
              </w:rPr>
            </w:pPr>
            <w:r w:rsidRPr="004F0908">
              <w:rPr>
                <w:rFonts w:ascii="Arial" w:eastAsia="Times New Roman" w:hAnsi="Arial" w:cs="Arial"/>
                <w:b/>
                <w:bCs/>
                <w:color w:val="000000"/>
                <w:kern w:val="0"/>
                <w:sz w:val="24"/>
                <w:szCs w:val="24"/>
                <w:lang w:eastAsia="pt-BR"/>
                <w14:ligatures w14:val="none"/>
              </w:rPr>
              <w:t>Valor débito</w:t>
            </w:r>
          </w:p>
        </w:tc>
        <w:tc>
          <w:tcPr>
            <w:tcW w:w="210" w:type="dxa"/>
            <w:tcBorders>
              <w:top w:val="single" w:sz="4" w:space="0" w:color="auto"/>
              <w:left w:val="nil"/>
              <w:bottom w:val="single" w:sz="4" w:space="0" w:color="auto"/>
              <w:right w:val="single" w:sz="4" w:space="0" w:color="auto"/>
            </w:tcBorders>
            <w:shd w:val="clear" w:color="auto" w:fill="auto"/>
            <w:noWrap/>
            <w:vAlign w:val="center"/>
            <w:hideMark/>
          </w:tcPr>
          <w:p w14:paraId="7625877F" w14:textId="53B1CD3D" w:rsidR="002C6255" w:rsidRPr="004F0908" w:rsidRDefault="002C6255" w:rsidP="004F0908">
            <w:pPr>
              <w:spacing w:after="0" w:line="240" w:lineRule="auto"/>
              <w:jc w:val="center"/>
              <w:rPr>
                <w:rFonts w:ascii="Arial" w:eastAsia="Times New Roman" w:hAnsi="Arial" w:cs="Arial"/>
                <w:b/>
                <w:bCs/>
                <w:color w:val="000000"/>
                <w:kern w:val="0"/>
                <w:sz w:val="24"/>
                <w:szCs w:val="24"/>
                <w:lang w:eastAsia="pt-BR"/>
                <w14:ligatures w14:val="none"/>
              </w:rPr>
            </w:pPr>
            <w:r w:rsidRPr="004F0908">
              <w:rPr>
                <w:rFonts w:ascii="Arial" w:eastAsia="Times New Roman" w:hAnsi="Arial" w:cs="Arial"/>
                <w:b/>
                <w:bCs/>
                <w:color w:val="000000"/>
                <w:kern w:val="0"/>
                <w:sz w:val="24"/>
                <w:szCs w:val="24"/>
                <w:lang w:eastAsia="pt-BR"/>
                <w14:ligatures w14:val="none"/>
              </w:rPr>
              <w:t>Data</w:t>
            </w:r>
            <w:r w:rsidR="00913908" w:rsidRPr="00FE1B78">
              <w:rPr>
                <w:rFonts w:ascii="Arial" w:eastAsia="Times New Roman" w:hAnsi="Arial" w:cs="Arial"/>
                <w:b/>
                <w:bCs/>
                <w:color w:val="000000"/>
                <w:kern w:val="0"/>
                <w:sz w:val="24"/>
                <w:szCs w:val="24"/>
                <w:lang w:eastAsia="pt-BR"/>
                <w14:ligatures w14:val="none"/>
              </w:rPr>
              <w:t>-base</w:t>
            </w:r>
          </w:p>
        </w:tc>
        <w:tc>
          <w:tcPr>
            <w:tcW w:w="1633" w:type="dxa"/>
            <w:tcBorders>
              <w:top w:val="single" w:sz="4" w:space="0" w:color="auto"/>
              <w:left w:val="nil"/>
              <w:bottom w:val="single" w:sz="4" w:space="0" w:color="auto"/>
            </w:tcBorders>
            <w:shd w:val="clear" w:color="auto" w:fill="auto"/>
            <w:noWrap/>
            <w:vAlign w:val="center"/>
            <w:hideMark/>
          </w:tcPr>
          <w:p w14:paraId="18CC046E" w14:textId="55E7B913" w:rsidR="002C6255" w:rsidRPr="004F0908" w:rsidRDefault="002C6255" w:rsidP="004F0908">
            <w:pPr>
              <w:spacing w:after="0" w:line="240" w:lineRule="auto"/>
              <w:jc w:val="center"/>
              <w:rPr>
                <w:rFonts w:ascii="Arial" w:eastAsia="Times New Roman" w:hAnsi="Arial" w:cs="Arial"/>
                <w:b/>
                <w:bCs/>
                <w:color w:val="000000"/>
                <w:kern w:val="0"/>
                <w:sz w:val="24"/>
                <w:szCs w:val="24"/>
                <w:vertAlign w:val="superscript"/>
                <w:lang w:eastAsia="pt-BR"/>
                <w14:ligatures w14:val="none"/>
              </w:rPr>
            </w:pPr>
            <w:r w:rsidRPr="004F0908">
              <w:rPr>
                <w:rFonts w:ascii="Arial" w:eastAsia="Times New Roman" w:hAnsi="Arial" w:cs="Arial"/>
                <w:b/>
                <w:bCs/>
                <w:color w:val="000000"/>
                <w:kern w:val="0"/>
                <w:sz w:val="24"/>
                <w:szCs w:val="24"/>
                <w:lang w:eastAsia="pt-BR"/>
                <w14:ligatures w14:val="none"/>
              </w:rPr>
              <w:t>Valor débito atualizado</w:t>
            </w:r>
            <w:r w:rsidR="001378EE" w:rsidRPr="00FE1B78">
              <w:rPr>
                <w:rFonts w:ascii="Arial" w:eastAsia="Times New Roman" w:hAnsi="Arial" w:cs="Arial"/>
                <w:b/>
                <w:bCs/>
                <w:color w:val="000000"/>
                <w:kern w:val="0"/>
                <w:sz w:val="24"/>
                <w:szCs w:val="24"/>
                <w:lang w:eastAsia="pt-BR"/>
                <w14:ligatures w14:val="none"/>
              </w:rPr>
              <w:t>*</w:t>
            </w:r>
          </w:p>
        </w:tc>
      </w:tr>
      <w:tr w:rsidR="002C6255" w:rsidRPr="004F0908" w14:paraId="4A607B8D" w14:textId="77777777" w:rsidTr="00612A21">
        <w:trPr>
          <w:trHeight w:val="900"/>
        </w:trPr>
        <w:tc>
          <w:tcPr>
            <w:tcW w:w="1319" w:type="dxa"/>
            <w:tcBorders>
              <w:top w:val="single" w:sz="4" w:space="0" w:color="auto"/>
              <w:bottom w:val="single" w:sz="4" w:space="0" w:color="auto"/>
              <w:right w:val="single" w:sz="4" w:space="0" w:color="auto"/>
            </w:tcBorders>
            <w:shd w:val="clear" w:color="auto" w:fill="auto"/>
            <w:noWrap/>
            <w:vAlign w:val="center"/>
            <w:hideMark/>
          </w:tcPr>
          <w:p w14:paraId="35A83BF3"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2014/2017-TCU-Plenário</w:t>
            </w:r>
          </w:p>
        </w:tc>
        <w:tc>
          <w:tcPr>
            <w:tcW w:w="3686" w:type="dxa"/>
            <w:tcBorders>
              <w:top w:val="nil"/>
              <w:left w:val="nil"/>
              <w:bottom w:val="single" w:sz="4" w:space="0" w:color="auto"/>
              <w:right w:val="single" w:sz="4" w:space="0" w:color="auto"/>
            </w:tcBorders>
            <w:shd w:val="clear" w:color="auto" w:fill="auto"/>
            <w:vAlign w:val="center"/>
            <w:hideMark/>
          </w:tcPr>
          <w:p w14:paraId="1210AF4C"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Construtora Norberto Odebrecht S.A.</w:t>
            </w:r>
            <w:r w:rsidRPr="004F0908">
              <w:rPr>
                <w:rFonts w:ascii="Arial" w:eastAsia="Times New Roman" w:hAnsi="Arial" w:cs="Arial"/>
                <w:color w:val="000000"/>
                <w:kern w:val="0"/>
                <w:sz w:val="24"/>
                <w:szCs w:val="24"/>
                <w:lang w:eastAsia="pt-BR"/>
                <w14:ligatures w14:val="none"/>
              </w:rPr>
              <w:br/>
              <w:t>UTC Engenharia S.A.</w:t>
            </w:r>
            <w:r w:rsidRPr="004F0908">
              <w:rPr>
                <w:rFonts w:ascii="Arial" w:eastAsia="Times New Roman" w:hAnsi="Arial" w:cs="Arial"/>
                <w:color w:val="000000"/>
                <w:kern w:val="0"/>
                <w:sz w:val="24"/>
                <w:szCs w:val="24"/>
                <w:lang w:eastAsia="pt-BR"/>
                <w14:ligatures w14:val="none"/>
              </w:rPr>
              <w:br/>
              <w:t>Toyo Engineering Corporation</w:t>
            </w:r>
          </w:p>
        </w:tc>
        <w:tc>
          <w:tcPr>
            <w:tcW w:w="1516" w:type="dxa"/>
            <w:tcBorders>
              <w:top w:val="nil"/>
              <w:left w:val="nil"/>
              <w:bottom w:val="single" w:sz="4" w:space="0" w:color="auto"/>
              <w:right w:val="single" w:sz="4" w:space="0" w:color="auto"/>
            </w:tcBorders>
            <w:shd w:val="clear" w:color="auto" w:fill="auto"/>
            <w:noWrap/>
            <w:vAlign w:val="center"/>
            <w:hideMark/>
          </w:tcPr>
          <w:p w14:paraId="2521BE2B"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R$ 505,6 milhões</w:t>
            </w:r>
          </w:p>
        </w:tc>
        <w:tc>
          <w:tcPr>
            <w:tcW w:w="210" w:type="dxa"/>
            <w:tcBorders>
              <w:top w:val="nil"/>
              <w:left w:val="nil"/>
              <w:bottom w:val="single" w:sz="4" w:space="0" w:color="auto"/>
              <w:right w:val="single" w:sz="4" w:space="0" w:color="auto"/>
            </w:tcBorders>
            <w:shd w:val="clear" w:color="auto" w:fill="auto"/>
            <w:noWrap/>
            <w:vAlign w:val="center"/>
            <w:hideMark/>
          </w:tcPr>
          <w:p w14:paraId="1A893D02"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nov/11</w:t>
            </w:r>
          </w:p>
        </w:tc>
        <w:tc>
          <w:tcPr>
            <w:tcW w:w="1633" w:type="dxa"/>
            <w:tcBorders>
              <w:top w:val="single" w:sz="4" w:space="0" w:color="auto"/>
              <w:left w:val="nil"/>
              <w:bottom w:val="single" w:sz="4" w:space="0" w:color="auto"/>
            </w:tcBorders>
            <w:shd w:val="clear" w:color="auto" w:fill="auto"/>
            <w:noWrap/>
            <w:vAlign w:val="center"/>
            <w:hideMark/>
          </w:tcPr>
          <w:p w14:paraId="1DF630D9"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R$ 1.076 milhões</w:t>
            </w:r>
          </w:p>
        </w:tc>
      </w:tr>
      <w:tr w:rsidR="002C6255" w:rsidRPr="004F0908" w14:paraId="083A82CD" w14:textId="77777777" w:rsidTr="00612A21">
        <w:trPr>
          <w:trHeight w:val="600"/>
        </w:trPr>
        <w:tc>
          <w:tcPr>
            <w:tcW w:w="1319" w:type="dxa"/>
            <w:tcBorders>
              <w:top w:val="single" w:sz="4" w:space="0" w:color="auto"/>
              <w:bottom w:val="single" w:sz="4" w:space="0" w:color="auto"/>
              <w:right w:val="single" w:sz="4" w:space="0" w:color="auto"/>
            </w:tcBorders>
            <w:shd w:val="clear" w:color="auto" w:fill="auto"/>
            <w:noWrap/>
            <w:vAlign w:val="center"/>
            <w:hideMark/>
          </w:tcPr>
          <w:p w14:paraId="72709E4C"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2396/2018-TCU-Plenário</w:t>
            </w:r>
          </w:p>
        </w:tc>
        <w:tc>
          <w:tcPr>
            <w:tcW w:w="3686" w:type="dxa"/>
            <w:tcBorders>
              <w:top w:val="nil"/>
              <w:left w:val="nil"/>
              <w:bottom w:val="single" w:sz="4" w:space="0" w:color="auto"/>
              <w:right w:val="single" w:sz="4" w:space="0" w:color="auto"/>
            </w:tcBorders>
            <w:shd w:val="clear" w:color="auto" w:fill="auto"/>
            <w:vAlign w:val="center"/>
            <w:hideMark/>
          </w:tcPr>
          <w:p w14:paraId="6575ADC9"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Construções e Comércio Camargo Correa S/A</w:t>
            </w:r>
            <w:r w:rsidRPr="004F0908">
              <w:rPr>
                <w:rFonts w:ascii="Arial" w:eastAsia="Times New Roman" w:hAnsi="Arial" w:cs="Arial"/>
                <w:color w:val="000000"/>
                <w:kern w:val="0"/>
                <w:sz w:val="24"/>
                <w:szCs w:val="24"/>
                <w:lang w:eastAsia="pt-BR"/>
                <w14:ligatures w14:val="none"/>
              </w:rPr>
              <w:br/>
              <w:t>Worleyparsons Engenharia Ltda.</w:t>
            </w:r>
          </w:p>
        </w:tc>
        <w:tc>
          <w:tcPr>
            <w:tcW w:w="1516" w:type="dxa"/>
            <w:tcBorders>
              <w:top w:val="nil"/>
              <w:left w:val="nil"/>
              <w:bottom w:val="single" w:sz="4" w:space="0" w:color="auto"/>
              <w:right w:val="single" w:sz="4" w:space="0" w:color="auto"/>
            </w:tcBorders>
            <w:shd w:val="clear" w:color="auto" w:fill="auto"/>
            <w:noWrap/>
            <w:vAlign w:val="center"/>
            <w:hideMark/>
          </w:tcPr>
          <w:p w14:paraId="6E98F2AD"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R$ 907 milhões</w:t>
            </w:r>
          </w:p>
        </w:tc>
        <w:tc>
          <w:tcPr>
            <w:tcW w:w="210" w:type="dxa"/>
            <w:tcBorders>
              <w:top w:val="nil"/>
              <w:left w:val="nil"/>
              <w:bottom w:val="single" w:sz="4" w:space="0" w:color="auto"/>
              <w:right w:val="single" w:sz="4" w:space="0" w:color="auto"/>
            </w:tcBorders>
            <w:shd w:val="clear" w:color="auto" w:fill="auto"/>
            <w:noWrap/>
            <w:vAlign w:val="center"/>
            <w:hideMark/>
          </w:tcPr>
          <w:p w14:paraId="7CA2BDF2"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mai/09</w:t>
            </w:r>
          </w:p>
        </w:tc>
        <w:tc>
          <w:tcPr>
            <w:tcW w:w="1633" w:type="dxa"/>
            <w:tcBorders>
              <w:top w:val="single" w:sz="4" w:space="0" w:color="auto"/>
              <w:left w:val="nil"/>
              <w:bottom w:val="single" w:sz="4" w:space="0" w:color="auto"/>
            </w:tcBorders>
            <w:shd w:val="clear" w:color="auto" w:fill="auto"/>
            <w:noWrap/>
            <w:vAlign w:val="center"/>
            <w:hideMark/>
          </w:tcPr>
          <w:p w14:paraId="0A5DEAB9"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R$ 2.800 milhões</w:t>
            </w:r>
          </w:p>
        </w:tc>
      </w:tr>
      <w:tr w:rsidR="002C6255" w:rsidRPr="004F0908" w14:paraId="547522C7" w14:textId="77777777" w:rsidTr="00612A21">
        <w:trPr>
          <w:trHeight w:val="600"/>
        </w:trPr>
        <w:tc>
          <w:tcPr>
            <w:tcW w:w="1319" w:type="dxa"/>
            <w:tcBorders>
              <w:top w:val="single" w:sz="4" w:space="0" w:color="auto"/>
              <w:bottom w:val="single" w:sz="4" w:space="0" w:color="auto"/>
              <w:right w:val="single" w:sz="4" w:space="0" w:color="auto"/>
            </w:tcBorders>
            <w:shd w:val="clear" w:color="auto" w:fill="auto"/>
            <w:noWrap/>
            <w:vAlign w:val="center"/>
            <w:hideMark/>
          </w:tcPr>
          <w:p w14:paraId="47B8B097"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2677/2018-TCU-Plenário</w:t>
            </w:r>
          </w:p>
        </w:tc>
        <w:tc>
          <w:tcPr>
            <w:tcW w:w="3686" w:type="dxa"/>
            <w:tcBorders>
              <w:top w:val="nil"/>
              <w:left w:val="nil"/>
              <w:bottom w:val="single" w:sz="4" w:space="0" w:color="auto"/>
              <w:right w:val="single" w:sz="4" w:space="0" w:color="auto"/>
            </w:tcBorders>
            <w:shd w:val="clear" w:color="auto" w:fill="auto"/>
            <w:vAlign w:val="center"/>
            <w:hideMark/>
          </w:tcPr>
          <w:p w14:paraId="135B5A97"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Construtora Norberto Odebrecht S.A.</w:t>
            </w:r>
            <w:r w:rsidRPr="004F0908">
              <w:rPr>
                <w:rFonts w:ascii="Arial" w:eastAsia="Times New Roman" w:hAnsi="Arial" w:cs="Arial"/>
                <w:color w:val="000000"/>
                <w:kern w:val="0"/>
                <w:sz w:val="24"/>
                <w:szCs w:val="24"/>
                <w:lang w:eastAsia="pt-BR"/>
                <w14:ligatures w14:val="none"/>
              </w:rPr>
              <w:br/>
              <w:t>Construtora OAS S/A Em Recuperação Judicial</w:t>
            </w:r>
          </w:p>
        </w:tc>
        <w:tc>
          <w:tcPr>
            <w:tcW w:w="1516" w:type="dxa"/>
            <w:tcBorders>
              <w:top w:val="nil"/>
              <w:left w:val="nil"/>
              <w:bottom w:val="single" w:sz="4" w:space="0" w:color="auto"/>
              <w:right w:val="single" w:sz="4" w:space="0" w:color="auto"/>
            </w:tcBorders>
            <w:shd w:val="clear" w:color="auto" w:fill="auto"/>
            <w:noWrap/>
            <w:vAlign w:val="center"/>
            <w:hideMark/>
          </w:tcPr>
          <w:p w14:paraId="32AEFC24"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R$ 1.364 milhões</w:t>
            </w:r>
          </w:p>
        </w:tc>
        <w:tc>
          <w:tcPr>
            <w:tcW w:w="210" w:type="dxa"/>
            <w:tcBorders>
              <w:top w:val="nil"/>
              <w:left w:val="nil"/>
              <w:bottom w:val="single" w:sz="4" w:space="0" w:color="auto"/>
              <w:right w:val="single" w:sz="4" w:space="0" w:color="auto"/>
            </w:tcBorders>
            <w:shd w:val="clear" w:color="auto" w:fill="auto"/>
            <w:noWrap/>
            <w:vAlign w:val="center"/>
            <w:hideMark/>
          </w:tcPr>
          <w:p w14:paraId="7E0BCE23"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mai/09</w:t>
            </w:r>
          </w:p>
        </w:tc>
        <w:tc>
          <w:tcPr>
            <w:tcW w:w="1633" w:type="dxa"/>
            <w:tcBorders>
              <w:top w:val="single" w:sz="4" w:space="0" w:color="auto"/>
              <w:left w:val="nil"/>
              <w:bottom w:val="single" w:sz="4" w:space="0" w:color="auto"/>
            </w:tcBorders>
            <w:shd w:val="clear" w:color="auto" w:fill="auto"/>
            <w:noWrap/>
            <w:vAlign w:val="center"/>
            <w:hideMark/>
          </w:tcPr>
          <w:p w14:paraId="25F0057C"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R$ 4.210 milhões</w:t>
            </w:r>
          </w:p>
        </w:tc>
      </w:tr>
      <w:tr w:rsidR="002C6255" w:rsidRPr="004F0908" w14:paraId="592E2961" w14:textId="77777777" w:rsidTr="00612A21">
        <w:trPr>
          <w:trHeight w:val="900"/>
        </w:trPr>
        <w:tc>
          <w:tcPr>
            <w:tcW w:w="1319" w:type="dxa"/>
            <w:tcBorders>
              <w:top w:val="single" w:sz="4" w:space="0" w:color="auto"/>
              <w:bottom w:val="single" w:sz="4" w:space="0" w:color="auto"/>
              <w:right w:val="single" w:sz="4" w:space="0" w:color="auto"/>
            </w:tcBorders>
            <w:shd w:val="clear" w:color="auto" w:fill="auto"/>
            <w:noWrap/>
            <w:vAlign w:val="center"/>
            <w:hideMark/>
          </w:tcPr>
          <w:p w14:paraId="2CC41C50"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2688/2020-TCU-Plenário</w:t>
            </w:r>
          </w:p>
        </w:tc>
        <w:tc>
          <w:tcPr>
            <w:tcW w:w="3686" w:type="dxa"/>
            <w:tcBorders>
              <w:top w:val="nil"/>
              <w:left w:val="nil"/>
              <w:bottom w:val="single" w:sz="4" w:space="0" w:color="auto"/>
              <w:right w:val="single" w:sz="4" w:space="0" w:color="auto"/>
            </w:tcBorders>
            <w:shd w:val="clear" w:color="auto" w:fill="auto"/>
            <w:vAlign w:val="center"/>
            <w:hideMark/>
          </w:tcPr>
          <w:p w14:paraId="7A7EF1BD"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Mendes Júnior Trading e Engenharia S/A</w:t>
            </w:r>
            <w:r w:rsidRPr="004F0908">
              <w:rPr>
                <w:rFonts w:ascii="Arial" w:eastAsia="Times New Roman" w:hAnsi="Arial" w:cs="Arial"/>
                <w:color w:val="000000"/>
                <w:kern w:val="0"/>
                <w:sz w:val="24"/>
                <w:szCs w:val="24"/>
                <w:lang w:eastAsia="pt-BR"/>
                <w14:ligatures w14:val="none"/>
              </w:rPr>
              <w:br/>
              <w:t>MPE Montagens e Projetos Especiais S/A</w:t>
            </w:r>
            <w:r w:rsidRPr="004F0908">
              <w:rPr>
                <w:rFonts w:ascii="Arial" w:eastAsia="Times New Roman" w:hAnsi="Arial" w:cs="Arial"/>
                <w:color w:val="000000"/>
                <w:kern w:val="0"/>
                <w:sz w:val="24"/>
                <w:szCs w:val="24"/>
                <w:lang w:eastAsia="pt-BR"/>
                <w14:ligatures w14:val="none"/>
              </w:rPr>
              <w:br/>
              <w:t>SOG - Óleo e Gás S/A</w:t>
            </w:r>
          </w:p>
        </w:tc>
        <w:tc>
          <w:tcPr>
            <w:tcW w:w="1516" w:type="dxa"/>
            <w:tcBorders>
              <w:top w:val="nil"/>
              <w:left w:val="nil"/>
              <w:bottom w:val="single" w:sz="4" w:space="0" w:color="auto"/>
              <w:right w:val="single" w:sz="4" w:space="0" w:color="auto"/>
            </w:tcBorders>
            <w:shd w:val="clear" w:color="auto" w:fill="auto"/>
            <w:noWrap/>
            <w:vAlign w:val="center"/>
            <w:hideMark/>
          </w:tcPr>
          <w:p w14:paraId="730CE734"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R$ 601,7 milhões</w:t>
            </w:r>
          </w:p>
        </w:tc>
        <w:tc>
          <w:tcPr>
            <w:tcW w:w="210" w:type="dxa"/>
            <w:tcBorders>
              <w:top w:val="nil"/>
              <w:left w:val="nil"/>
              <w:bottom w:val="single" w:sz="4" w:space="0" w:color="auto"/>
              <w:right w:val="single" w:sz="4" w:space="0" w:color="auto"/>
            </w:tcBorders>
            <w:shd w:val="clear" w:color="auto" w:fill="auto"/>
            <w:noWrap/>
            <w:vAlign w:val="center"/>
            <w:hideMark/>
          </w:tcPr>
          <w:p w14:paraId="510EA65B"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abr/08</w:t>
            </w:r>
          </w:p>
        </w:tc>
        <w:tc>
          <w:tcPr>
            <w:tcW w:w="1633" w:type="dxa"/>
            <w:tcBorders>
              <w:top w:val="single" w:sz="4" w:space="0" w:color="auto"/>
              <w:left w:val="nil"/>
              <w:bottom w:val="single" w:sz="4" w:space="0" w:color="auto"/>
            </w:tcBorders>
            <w:shd w:val="clear" w:color="auto" w:fill="auto"/>
            <w:noWrap/>
            <w:vAlign w:val="center"/>
            <w:hideMark/>
          </w:tcPr>
          <w:p w14:paraId="3A10E3A0"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R$ 2.052 milhões</w:t>
            </w:r>
          </w:p>
        </w:tc>
      </w:tr>
      <w:tr w:rsidR="002C6255" w:rsidRPr="004F0908" w14:paraId="54818BDD" w14:textId="77777777" w:rsidTr="00612A21">
        <w:trPr>
          <w:trHeight w:val="300"/>
        </w:trPr>
        <w:tc>
          <w:tcPr>
            <w:tcW w:w="1319" w:type="dxa"/>
            <w:tcBorders>
              <w:top w:val="single" w:sz="4" w:space="0" w:color="auto"/>
              <w:bottom w:val="single" w:sz="4" w:space="0" w:color="auto"/>
              <w:right w:val="single" w:sz="4" w:space="0" w:color="auto"/>
            </w:tcBorders>
            <w:shd w:val="clear" w:color="auto" w:fill="auto"/>
            <w:noWrap/>
            <w:vAlign w:val="center"/>
            <w:hideMark/>
          </w:tcPr>
          <w:p w14:paraId="5AF64501"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1822/2020-TCU-Plenário</w:t>
            </w:r>
          </w:p>
        </w:tc>
        <w:tc>
          <w:tcPr>
            <w:tcW w:w="3686" w:type="dxa"/>
            <w:tcBorders>
              <w:top w:val="nil"/>
              <w:left w:val="nil"/>
              <w:bottom w:val="single" w:sz="4" w:space="0" w:color="auto"/>
              <w:right w:val="single" w:sz="4" w:space="0" w:color="auto"/>
            </w:tcBorders>
            <w:shd w:val="clear" w:color="auto" w:fill="auto"/>
            <w:vAlign w:val="center"/>
            <w:hideMark/>
          </w:tcPr>
          <w:p w14:paraId="34C21E3E"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Construções e Comércio Camargo Correa S/A</w:t>
            </w:r>
          </w:p>
        </w:tc>
        <w:tc>
          <w:tcPr>
            <w:tcW w:w="1516" w:type="dxa"/>
            <w:tcBorders>
              <w:top w:val="nil"/>
              <w:left w:val="nil"/>
              <w:bottom w:val="single" w:sz="4" w:space="0" w:color="auto"/>
              <w:right w:val="single" w:sz="4" w:space="0" w:color="auto"/>
            </w:tcBorders>
            <w:shd w:val="clear" w:color="auto" w:fill="auto"/>
            <w:noWrap/>
            <w:vAlign w:val="center"/>
            <w:hideMark/>
          </w:tcPr>
          <w:p w14:paraId="160EF310"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R$ 46,6 milhões</w:t>
            </w:r>
          </w:p>
        </w:tc>
        <w:tc>
          <w:tcPr>
            <w:tcW w:w="210" w:type="dxa"/>
            <w:tcBorders>
              <w:top w:val="nil"/>
              <w:left w:val="nil"/>
              <w:bottom w:val="single" w:sz="4" w:space="0" w:color="auto"/>
              <w:right w:val="single" w:sz="4" w:space="0" w:color="auto"/>
            </w:tcBorders>
            <w:shd w:val="clear" w:color="auto" w:fill="auto"/>
            <w:noWrap/>
            <w:vAlign w:val="center"/>
            <w:hideMark/>
          </w:tcPr>
          <w:p w14:paraId="568F6BAD"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jul/01</w:t>
            </w:r>
          </w:p>
        </w:tc>
        <w:tc>
          <w:tcPr>
            <w:tcW w:w="1633" w:type="dxa"/>
            <w:tcBorders>
              <w:top w:val="single" w:sz="4" w:space="0" w:color="auto"/>
              <w:left w:val="nil"/>
              <w:bottom w:val="single" w:sz="4" w:space="0" w:color="auto"/>
            </w:tcBorders>
            <w:shd w:val="clear" w:color="auto" w:fill="auto"/>
            <w:noWrap/>
            <w:vAlign w:val="center"/>
            <w:hideMark/>
          </w:tcPr>
          <w:p w14:paraId="5722B4E5"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R$ 420 milhões</w:t>
            </w:r>
          </w:p>
        </w:tc>
      </w:tr>
      <w:tr w:rsidR="002C6255" w:rsidRPr="004F0908" w14:paraId="4E44E01F" w14:textId="77777777" w:rsidTr="00612A21">
        <w:trPr>
          <w:trHeight w:val="300"/>
        </w:trPr>
        <w:tc>
          <w:tcPr>
            <w:tcW w:w="1319" w:type="dxa"/>
            <w:tcBorders>
              <w:top w:val="single" w:sz="4" w:space="0" w:color="auto"/>
              <w:bottom w:val="single" w:sz="4" w:space="0" w:color="auto"/>
              <w:right w:val="single" w:sz="4" w:space="0" w:color="auto"/>
            </w:tcBorders>
            <w:shd w:val="clear" w:color="auto" w:fill="auto"/>
            <w:noWrap/>
            <w:vAlign w:val="center"/>
            <w:hideMark/>
          </w:tcPr>
          <w:p w14:paraId="08DF9134"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2504/2019-TCU-Plenário</w:t>
            </w:r>
          </w:p>
        </w:tc>
        <w:tc>
          <w:tcPr>
            <w:tcW w:w="3686" w:type="dxa"/>
            <w:tcBorders>
              <w:top w:val="nil"/>
              <w:left w:val="nil"/>
              <w:bottom w:val="single" w:sz="4" w:space="0" w:color="auto"/>
              <w:right w:val="single" w:sz="4" w:space="0" w:color="auto"/>
            </w:tcBorders>
            <w:shd w:val="clear" w:color="auto" w:fill="auto"/>
            <w:noWrap/>
            <w:vAlign w:val="center"/>
            <w:hideMark/>
          </w:tcPr>
          <w:p w14:paraId="03D22B4C"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Construtora Queiroz Galvão S/A</w:t>
            </w:r>
          </w:p>
        </w:tc>
        <w:tc>
          <w:tcPr>
            <w:tcW w:w="1516" w:type="dxa"/>
            <w:tcBorders>
              <w:top w:val="nil"/>
              <w:left w:val="nil"/>
              <w:bottom w:val="single" w:sz="4" w:space="0" w:color="auto"/>
              <w:right w:val="single" w:sz="4" w:space="0" w:color="auto"/>
            </w:tcBorders>
            <w:shd w:val="clear" w:color="auto" w:fill="auto"/>
            <w:noWrap/>
            <w:vAlign w:val="center"/>
            <w:hideMark/>
          </w:tcPr>
          <w:p w14:paraId="30D3A6F3"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R$ 15,4 milhões</w:t>
            </w:r>
          </w:p>
        </w:tc>
        <w:tc>
          <w:tcPr>
            <w:tcW w:w="210" w:type="dxa"/>
            <w:tcBorders>
              <w:top w:val="nil"/>
              <w:left w:val="nil"/>
              <w:bottom w:val="single" w:sz="4" w:space="0" w:color="auto"/>
              <w:right w:val="single" w:sz="4" w:space="0" w:color="auto"/>
            </w:tcBorders>
            <w:shd w:val="clear" w:color="auto" w:fill="auto"/>
            <w:noWrap/>
            <w:vAlign w:val="center"/>
            <w:hideMark/>
          </w:tcPr>
          <w:p w14:paraId="42B895CA"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nov/04</w:t>
            </w:r>
          </w:p>
        </w:tc>
        <w:tc>
          <w:tcPr>
            <w:tcW w:w="1633" w:type="dxa"/>
            <w:tcBorders>
              <w:top w:val="single" w:sz="4" w:space="0" w:color="auto"/>
              <w:left w:val="nil"/>
              <w:bottom w:val="single" w:sz="4" w:space="0" w:color="auto"/>
            </w:tcBorders>
            <w:shd w:val="clear" w:color="auto" w:fill="auto"/>
            <w:noWrap/>
            <w:vAlign w:val="center"/>
            <w:hideMark/>
          </w:tcPr>
          <w:p w14:paraId="3E57343C"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R$ 83,7 milhões</w:t>
            </w:r>
          </w:p>
        </w:tc>
      </w:tr>
      <w:tr w:rsidR="002C6255" w:rsidRPr="004F0908" w14:paraId="284673DA" w14:textId="77777777" w:rsidTr="00612A21">
        <w:trPr>
          <w:trHeight w:val="300"/>
        </w:trPr>
        <w:tc>
          <w:tcPr>
            <w:tcW w:w="1319" w:type="dxa"/>
            <w:tcBorders>
              <w:top w:val="single" w:sz="4" w:space="0" w:color="auto"/>
              <w:bottom w:val="single" w:sz="4" w:space="0" w:color="auto"/>
              <w:right w:val="single" w:sz="4" w:space="0" w:color="auto"/>
            </w:tcBorders>
            <w:shd w:val="clear" w:color="auto" w:fill="auto"/>
            <w:noWrap/>
            <w:vAlign w:val="center"/>
            <w:hideMark/>
          </w:tcPr>
          <w:p w14:paraId="4356E445"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2624/2019-TCU-Plenário</w:t>
            </w:r>
          </w:p>
        </w:tc>
        <w:tc>
          <w:tcPr>
            <w:tcW w:w="3686" w:type="dxa"/>
            <w:tcBorders>
              <w:top w:val="nil"/>
              <w:left w:val="nil"/>
              <w:bottom w:val="single" w:sz="4" w:space="0" w:color="auto"/>
              <w:right w:val="single" w:sz="4" w:space="0" w:color="auto"/>
            </w:tcBorders>
            <w:shd w:val="clear" w:color="auto" w:fill="auto"/>
            <w:vAlign w:val="center"/>
            <w:hideMark/>
          </w:tcPr>
          <w:p w14:paraId="77801131"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Construções e Comércio Camargo Correa S/A</w:t>
            </w:r>
          </w:p>
        </w:tc>
        <w:tc>
          <w:tcPr>
            <w:tcW w:w="1516" w:type="dxa"/>
            <w:tcBorders>
              <w:top w:val="nil"/>
              <w:left w:val="nil"/>
              <w:bottom w:val="single" w:sz="4" w:space="0" w:color="auto"/>
              <w:right w:val="single" w:sz="4" w:space="0" w:color="auto"/>
            </w:tcBorders>
            <w:shd w:val="clear" w:color="auto" w:fill="auto"/>
            <w:noWrap/>
            <w:vAlign w:val="center"/>
            <w:hideMark/>
          </w:tcPr>
          <w:p w14:paraId="072074BF"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R$ 3,1 milhões</w:t>
            </w:r>
          </w:p>
        </w:tc>
        <w:tc>
          <w:tcPr>
            <w:tcW w:w="210" w:type="dxa"/>
            <w:tcBorders>
              <w:top w:val="nil"/>
              <w:left w:val="nil"/>
              <w:bottom w:val="single" w:sz="4" w:space="0" w:color="auto"/>
              <w:right w:val="single" w:sz="4" w:space="0" w:color="auto"/>
            </w:tcBorders>
            <w:shd w:val="clear" w:color="auto" w:fill="auto"/>
            <w:noWrap/>
            <w:vAlign w:val="center"/>
            <w:hideMark/>
          </w:tcPr>
          <w:p w14:paraId="032B8541"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nov/04</w:t>
            </w:r>
          </w:p>
        </w:tc>
        <w:tc>
          <w:tcPr>
            <w:tcW w:w="1633" w:type="dxa"/>
            <w:tcBorders>
              <w:top w:val="single" w:sz="4" w:space="0" w:color="auto"/>
              <w:left w:val="nil"/>
              <w:bottom w:val="single" w:sz="4" w:space="0" w:color="auto"/>
            </w:tcBorders>
            <w:shd w:val="clear" w:color="auto" w:fill="auto"/>
            <w:noWrap/>
            <w:vAlign w:val="center"/>
            <w:hideMark/>
          </w:tcPr>
          <w:p w14:paraId="37A3B521"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R$ 16,8 milhões</w:t>
            </w:r>
          </w:p>
        </w:tc>
      </w:tr>
      <w:tr w:rsidR="002C6255" w:rsidRPr="004F0908" w14:paraId="52185CF1" w14:textId="77777777" w:rsidTr="00612A21">
        <w:trPr>
          <w:trHeight w:val="300"/>
        </w:trPr>
        <w:tc>
          <w:tcPr>
            <w:tcW w:w="1319" w:type="dxa"/>
            <w:tcBorders>
              <w:top w:val="single" w:sz="4" w:space="0" w:color="auto"/>
              <w:bottom w:val="single" w:sz="4" w:space="0" w:color="auto"/>
              <w:right w:val="single" w:sz="4" w:space="0" w:color="auto"/>
            </w:tcBorders>
            <w:shd w:val="clear" w:color="auto" w:fill="auto"/>
            <w:noWrap/>
            <w:vAlign w:val="center"/>
            <w:hideMark/>
          </w:tcPr>
          <w:p w14:paraId="31D74345"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2240/2018-TCU-Plenário</w:t>
            </w:r>
          </w:p>
        </w:tc>
        <w:tc>
          <w:tcPr>
            <w:tcW w:w="3686" w:type="dxa"/>
            <w:tcBorders>
              <w:top w:val="nil"/>
              <w:left w:val="nil"/>
              <w:bottom w:val="single" w:sz="4" w:space="0" w:color="auto"/>
              <w:right w:val="single" w:sz="4" w:space="0" w:color="auto"/>
            </w:tcBorders>
            <w:shd w:val="clear" w:color="auto" w:fill="auto"/>
            <w:noWrap/>
            <w:vAlign w:val="center"/>
            <w:hideMark/>
          </w:tcPr>
          <w:p w14:paraId="2A3C7613"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Constran S/A - Construções e Comércio</w:t>
            </w:r>
          </w:p>
        </w:tc>
        <w:tc>
          <w:tcPr>
            <w:tcW w:w="1516" w:type="dxa"/>
            <w:tcBorders>
              <w:top w:val="nil"/>
              <w:left w:val="nil"/>
              <w:bottom w:val="single" w:sz="4" w:space="0" w:color="auto"/>
              <w:right w:val="single" w:sz="4" w:space="0" w:color="auto"/>
            </w:tcBorders>
            <w:shd w:val="clear" w:color="auto" w:fill="auto"/>
            <w:noWrap/>
            <w:vAlign w:val="center"/>
            <w:hideMark/>
          </w:tcPr>
          <w:p w14:paraId="6C8A7FBB"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R$ 37,6 milhões</w:t>
            </w:r>
          </w:p>
        </w:tc>
        <w:tc>
          <w:tcPr>
            <w:tcW w:w="210" w:type="dxa"/>
            <w:tcBorders>
              <w:top w:val="nil"/>
              <w:left w:val="nil"/>
              <w:bottom w:val="single" w:sz="4" w:space="0" w:color="auto"/>
              <w:right w:val="single" w:sz="4" w:space="0" w:color="auto"/>
            </w:tcBorders>
            <w:shd w:val="clear" w:color="auto" w:fill="auto"/>
            <w:noWrap/>
            <w:vAlign w:val="center"/>
            <w:hideMark/>
          </w:tcPr>
          <w:p w14:paraId="1853180E"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nov/04</w:t>
            </w:r>
          </w:p>
        </w:tc>
        <w:tc>
          <w:tcPr>
            <w:tcW w:w="1633" w:type="dxa"/>
            <w:tcBorders>
              <w:top w:val="single" w:sz="4" w:space="0" w:color="auto"/>
              <w:left w:val="nil"/>
              <w:bottom w:val="single" w:sz="4" w:space="0" w:color="auto"/>
            </w:tcBorders>
            <w:shd w:val="clear" w:color="auto" w:fill="auto"/>
            <w:noWrap/>
            <w:vAlign w:val="center"/>
            <w:hideMark/>
          </w:tcPr>
          <w:p w14:paraId="46CE92F3"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R$ 204,4 milhões</w:t>
            </w:r>
          </w:p>
        </w:tc>
      </w:tr>
      <w:tr w:rsidR="002C6255" w:rsidRPr="004F0908" w14:paraId="4A557E34" w14:textId="77777777" w:rsidTr="00612A21">
        <w:trPr>
          <w:trHeight w:val="300"/>
        </w:trPr>
        <w:tc>
          <w:tcPr>
            <w:tcW w:w="1319" w:type="dxa"/>
            <w:tcBorders>
              <w:top w:val="single" w:sz="4" w:space="0" w:color="auto"/>
              <w:bottom w:val="single" w:sz="4" w:space="0" w:color="auto"/>
              <w:right w:val="single" w:sz="4" w:space="0" w:color="auto"/>
            </w:tcBorders>
            <w:shd w:val="clear" w:color="auto" w:fill="auto"/>
            <w:noWrap/>
            <w:vAlign w:val="center"/>
            <w:hideMark/>
          </w:tcPr>
          <w:p w14:paraId="0BB2796C"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1182/2020-TCU-Plenário</w:t>
            </w:r>
          </w:p>
        </w:tc>
        <w:tc>
          <w:tcPr>
            <w:tcW w:w="3686" w:type="dxa"/>
            <w:tcBorders>
              <w:top w:val="nil"/>
              <w:left w:val="nil"/>
              <w:bottom w:val="single" w:sz="4" w:space="0" w:color="auto"/>
              <w:right w:val="single" w:sz="4" w:space="0" w:color="auto"/>
            </w:tcBorders>
            <w:shd w:val="clear" w:color="auto" w:fill="auto"/>
            <w:noWrap/>
            <w:vAlign w:val="center"/>
            <w:hideMark/>
          </w:tcPr>
          <w:p w14:paraId="58E8DEFA"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Andrade Gutierrez Engenharia S/A</w:t>
            </w:r>
          </w:p>
        </w:tc>
        <w:tc>
          <w:tcPr>
            <w:tcW w:w="1516" w:type="dxa"/>
            <w:tcBorders>
              <w:top w:val="nil"/>
              <w:left w:val="nil"/>
              <w:bottom w:val="single" w:sz="4" w:space="0" w:color="auto"/>
              <w:right w:val="single" w:sz="4" w:space="0" w:color="auto"/>
            </w:tcBorders>
            <w:shd w:val="clear" w:color="auto" w:fill="auto"/>
            <w:noWrap/>
            <w:vAlign w:val="center"/>
            <w:hideMark/>
          </w:tcPr>
          <w:p w14:paraId="78BF063E"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R$ 45,1 milhões</w:t>
            </w:r>
          </w:p>
        </w:tc>
        <w:tc>
          <w:tcPr>
            <w:tcW w:w="210" w:type="dxa"/>
            <w:tcBorders>
              <w:top w:val="nil"/>
              <w:left w:val="nil"/>
              <w:bottom w:val="single" w:sz="4" w:space="0" w:color="auto"/>
              <w:right w:val="single" w:sz="4" w:space="0" w:color="auto"/>
            </w:tcBorders>
            <w:shd w:val="clear" w:color="auto" w:fill="auto"/>
            <w:noWrap/>
            <w:vAlign w:val="center"/>
            <w:hideMark/>
          </w:tcPr>
          <w:p w14:paraId="535F682A"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nov/04</w:t>
            </w:r>
          </w:p>
        </w:tc>
        <w:tc>
          <w:tcPr>
            <w:tcW w:w="1633" w:type="dxa"/>
            <w:tcBorders>
              <w:top w:val="single" w:sz="4" w:space="0" w:color="auto"/>
              <w:left w:val="nil"/>
              <w:bottom w:val="single" w:sz="4" w:space="0" w:color="auto"/>
            </w:tcBorders>
            <w:shd w:val="clear" w:color="auto" w:fill="auto"/>
            <w:noWrap/>
            <w:vAlign w:val="center"/>
            <w:hideMark/>
          </w:tcPr>
          <w:p w14:paraId="0E2C05FA"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R$ 245,2 milhões</w:t>
            </w:r>
          </w:p>
        </w:tc>
      </w:tr>
      <w:tr w:rsidR="002C6255" w:rsidRPr="004F0908" w14:paraId="49D67FF1" w14:textId="77777777" w:rsidTr="00612A21">
        <w:trPr>
          <w:trHeight w:val="600"/>
        </w:trPr>
        <w:tc>
          <w:tcPr>
            <w:tcW w:w="1319" w:type="dxa"/>
            <w:tcBorders>
              <w:top w:val="single" w:sz="4" w:space="0" w:color="auto"/>
              <w:bottom w:val="single" w:sz="4" w:space="0" w:color="auto"/>
              <w:right w:val="single" w:sz="4" w:space="0" w:color="auto"/>
            </w:tcBorders>
            <w:shd w:val="clear" w:color="auto" w:fill="auto"/>
            <w:noWrap/>
            <w:vAlign w:val="center"/>
            <w:hideMark/>
          </w:tcPr>
          <w:p w14:paraId="4CD76868"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lastRenderedPageBreak/>
              <w:t>173/2019-TCU-Plenário</w:t>
            </w:r>
          </w:p>
        </w:tc>
        <w:tc>
          <w:tcPr>
            <w:tcW w:w="3686" w:type="dxa"/>
            <w:tcBorders>
              <w:top w:val="nil"/>
              <w:left w:val="nil"/>
              <w:bottom w:val="single" w:sz="4" w:space="0" w:color="auto"/>
              <w:right w:val="single" w:sz="4" w:space="0" w:color="auto"/>
            </w:tcBorders>
            <w:shd w:val="clear" w:color="auto" w:fill="auto"/>
            <w:vAlign w:val="center"/>
            <w:hideMark/>
          </w:tcPr>
          <w:p w14:paraId="7ECD3D9C"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Constran S/A - Construções e Comércio</w:t>
            </w:r>
            <w:r w:rsidRPr="004F0908">
              <w:rPr>
                <w:rFonts w:ascii="Arial" w:eastAsia="Times New Roman" w:hAnsi="Arial" w:cs="Arial"/>
                <w:color w:val="000000"/>
                <w:kern w:val="0"/>
                <w:sz w:val="24"/>
                <w:szCs w:val="24"/>
                <w:lang w:eastAsia="pt-BR"/>
                <w14:ligatures w14:val="none"/>
              </w:rPr>
              <w:br/>
              <w:t>STE Serviços Técnicos de Engenharia S/A</w:t>
            </w:r>
          </w:p>
        </w:tc>
        <w:tc>
          <w:tcPr>
            <w:tcW w:w="1516" w:type="dxa"/>
            <w:tcBorders>
              <w:top w:val="nil"/>
              <w:left w:val="nil"/>
              <w:bottom w:val="single" w:sz="4" w:space="0" w:color="auto"/>
              <w:right w:val="single" w:sz="4" w:space="0" w:color="auto"/>
            </w:tcBorders>
            <w:shd w:val="clear" w:color="auto" w:fill="auto"/>
            <w:noWrap/>
            <w:vAlign w:val="center"/>
            <w:hideMark/>
          </w:tcPr>
          <w:p w14:paraId="22C19617"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R$ 20,8 milhões</w:t>
            </w:r>
          </w:p>
        </w:tc>
        <w:tc>
          <w:tcPr>
            <w:tcW w:w="210" w:type="dxa"/>
            <w:tcBorders>
              <w:top w:val="nil"/>
              <w:left w:val="nil"/>
              <w:bottom w:val="single" w:sz="4" w:space="0" w:color="auto"/>
              <w:right w:val="single" w:sz="4" w:space="0" w:color="auto"/>
            </w:tcBorders>
            <w:shd w:val="clear" w:color="auto" w:fill="auto"/>
            <w:noWrap/>
            <w:vAlign w:val="center"/>
            <w:hideMark/>
          </w:tcPr>
          <w:p w14:paraId="77A7B31D"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nov/04</w:t>
            </w:r>
          </w:p>
        </w:tc>
        <w:tc>
          <w:tcPr>
            <w:tcW w:w="1633" w:type="dxa"/>
            <w:tcBorders>
              <w:top w:val="single" w:sz="4" w:space="0" w:color="auto"/>
              <w:left w:val="nil"/>
              <w:bottom w:val="single" w:sz="4" w:space="0" w:color="auto"/>
            </w:tcBorders>
            <w:shd w:val="clear" w:color="auto" w:fill="auto"/>
            <w:noWrap/>
            <w:vAlign w:val="center"/>
            <w:hideMark/>
          </w:tcPr>
          <w:p w14:paraId="778F59AA"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R$ 113,1 milhões</w:t>
            </w:r>
          </w:p>
        </w:tc>
      </w:tr>
      <w:tr w:rsidR="002C6255" w:rsidRPr="004F0908" w14:paraId="531511F8" w14:textId="77777777" w:rsidTr="00612A21">
        <w:trPr>
          <w:trHeight w:val="600"/>
        </w:trPr>
        <w:tc>
          <w:tcPr>
            <w:tcW w:w="1319" w:type="dxa"/>
            <w:tcBorders>
              <w:top w:val="single" w:sz="4" w:space="0" w:color="auto"/>
              <w:bottom w:val="single" w:sz="4" w:space="0" w:color="auto"/>
              <w:right w:val="single" w:sz="4" w:space="0" w:color="auto"/>
            </w:tcBorders>
            <w:shd w:val="clear" w:color="auto" w:fill="auto"/>
            <w:noWrap/>
            <w:vAlign w:val="center"/>
            <w:hideMark/>
          </w:tcPr>
          <w:p w14:paraId="44F71585"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930/2019-TCU-Plenário</w:t>
            </w:r>
          </w:p>
        </w:tc>
        <w:tc>
          <w:tcPr>
            <w:tcW w:w="3686" w:type="dxa"/>
            <w:tcBorders>
              <w:top w:val="nil"/>
              <w:left w:val="nil"/>
              <w:bottom w:val="single" w:sz="4" w:space="0" w:color="auto"/>
              <w:right w:val="single" w:sz="4" w:space="0" w:color="auto"/>
            </w:tcBorders>
            <w:shd w:val="clear" w:color="auto" w:fill="auto"/>
            <w:vAlign w:val="center"/>
            <w:hideMark/>
          </w:tcPr>
          <w:p w14:paraId="56016868"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SPA Engenharia Indústria e Comércio Ltda.</w:t>
            </w:r>
            <w:r w:rsidRPr="004F0908">
              <w:rPr>
                <w:rFonts w:ascii="Arial" w:eastAsia="Times New Roman" w:hAnsi="Arial" w:cs="Arial"/>
                <w:color w:val="000000"/>
                <w:kern w:val="0"/>
                <w:sz w:val="24"/>
                <w:szCs w:val="24"/>
                <w:lang w:eastAsia="pt-BR"/>
                <w14:ligatures w14:val="none"/>
              </w:rPr>
              <w:br/>
              <w:t>STE Serviços Técnicos de Engenharia S/A</w:t>
            </w:r>
          </w:p>
        </w:tc>
        <w:tc>
          <w:tcPr>
            <w:tcW w:w="1516" w:type="dxa"/>
            <w:tcBorders>
              <w:top w:val="nil"/>
              <w:left w:val="nil"/>
              <w:bottom w:val="single" w:sz="4" w:space="0" w:color="auto"/>
              <w:right w:val="single" w:sz="4" w:space="0" w:color="auto"/>
            </w:tcBorders>
            <w:shd w:val="clear" w:color="auto" w:fill="auto"/>
            <w:noWrap/>
            <w:vAlign w:val="center"/>
            <w:hideMark/>
          </w:tcPr>
          <w:p w14:paraId="0F0F3680"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R$ 65,2 milhões</w:t>
            </w:r>
          </w:p>
        </w:tc>
        <w:tc>
          <w:tcPr>
            <w:tcW w:w="210" w:type="dxa"/>
            <w:tcBorders>
              <w:top w:val="nil"/>
              <w:left w:val="nil"/>
              <w:bottom w:val="single" w:sz="4" w:space="0" w:color="auto"/>
              <w:right w:val="single" w:sz="4" w:space="0" w:color="auto"/>
            </w:tcBorders>
            <w:shd w:val="clear" w:color="auto" w:fill="auto"/>
            <w:noWrap/>
            <w:vAlign w:val="center"/>
            <w:hideMark/>
          </w:tcPr>
          <w:p w14:paraId="55AA825F" w14:textId="77777777" w:rsidR="002C6255" w:rsidRPr="004F0908" w:rsidRDefault="002C6255" w:rsidP="004F0908">
            <w:pPr>
              <w:spacing w:after="0" w:line="240" w:lineRule="auto"/>
              <w:jc w:val="right"/>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nov/04</w:t>
            </w:r>
          </w:p>
        </w:tc>
        <w:tc>
          <w:tcPr>
            <w:tcW w:w="1633" w:type="dxa"/>
            <w:tcBorders>
              <w:top w:val="single" w:sz="4" w:space="0" w:color="auto"/>
              <w:left w:val="nil"/>
              <w:bottom w:val="single" w:sz="4" w:space="0" w:color="auto"/>
            </w:tcBorders>
            <w:shd w:val="clear" w:color="auto" w:fill="auto"/>
            <w:noWrap/>
            <w:vAlign w:val="center"/>
            <w:hideMark/>
          </w:tcPr>
          <w:p w14:paraId="0958675B" w14:textId="77777777" w:rsidR="002C6255" w:rsidRPr="004F0908" w:rsidRDefault="002C6255" w:rsidP="004F0908">
            <w:pPr>
              <w:spacing w:after="0" w:line="240" w:lineRule="auto"/>
              <w:rPr>
                <w:rFonts w:ascii="Arial" w:eastAsia="Times New Roman" w:hAnsi="Arial" w:cs="Arial"/>
                <w:color w:val="000000"/>
                <w:kern w:val="0"/>
                <w:sz w:val="24"/>
                <w:szCs w:val="24"/>
                <w:lang w:eastAsia="pt-BR"/>
                <w14:ligatures w14:val="none"/>
              </w:rPr>
            </w:pPr>
            <w:r w:rsidRPr="004F0908">
              <w:rPr>
                <w:rFonts w:ascii="Arial" w:eastAsia="Times New Roman" w:hAnsi="Arial" w:cs="Arial"/>
                <w:color w:val="000000"/>
                <w:kern w:val="0"/>
                <w:sz w:val="24"/>
                <w:szCs w:val="24"/>
                <w:lang w:eastAsia="pt-BR"/>
                <w14:ligatures w14:val="none"/>
              </w:rPr>
              <w:t>R$ 354,5 milhões</w:t>
            </w:r>
          </w:p>
        </w:tc>
      </w:tr>
    </w:tbl>
    <w:p w14:paraId="66A7F843" w14:textId="016D630F" w:rsidR="00545A12" w:rsidRPr="009E584A" w:rsidRDefault="005B22D8" w:rsidP="00DF1CCC">
      <w:pPr>
        <w:pStyle w:val="ArtigoFasul"/>
        <w:rPr>
          <w:sz w:val="22"/>
          <w:vertAlign w:val="superscript"/>
        </w:rPr>
      </w:pPr>
      <w:r w:rsidRPr="009E584A">
        <w:rPr>
          <w:sz w:val="22"/>
        </w:rPr>
        <w:t>Nota</w:t>
      </w:r>
      <w:r w:rsidR="001378EE">
        <w:rPr>
          <w:sz w:val="22"/>
        </w:rPr>
        <w:t>: *</w:t>
      </w:r>
      <w:r w:rsidR="00545A12" w:rsidRPr="009E584A">
        <w:rPr>
          <w:sz w:val="22"/>
        </w:rPr>
        <w:t>Atualização monetária e juros de mora do débito calculad</w:t>
      </w:r>
      <w:r w:rsidR="00913908">
        <w:rPr>
          <w:sz w:val="22"/>
        </w:rPr>
        <w:t>o</w:t>
      </w:r>
      <w:r w:rsidR="00545A12" w:rsidRPr="009E584A">
        <w:rPr>
          <w:sz w:val="22"/>
        </w:rPr>
        <w:t>s</w:t>
      </w:r>
      <w:r w:rsidR="00913908">
        <w:rPr>
          <w:sz w:val="22"/>
        </w:rPr>
        <w:t xml:space="preserve"> para 12/8/2024</w:t>
      </w:r>
      <w:r w:rsidR="00545A12" w:rsidRPr="009E584A">
        <w:rPr>
          <w:sz w:val="22"/>
        </w:rPr>
        <w:t xml:space="preserve"> por meio do sistema "</w:t>
      </w:r>
      <w:r w:rsidR="00D73015">
        <w:rPr>
          <w:sz w:val="22"/>
        </w:rPr>
        <w:t>Plataforma de Gestão de Dívidas</w:t>
      </w:r>
      <w:r w:rsidR="00545A12" w:rsidRPr="009E584A">
        <w:rPr>
          <w:sz w:val="22"/>
        </w:rPr>
        <w:t xml:space="preserve">" do TCU - </w:t>
      </w:r>
      <w:r w:rsidR="006F33DA">
        <w:rPr>
          <w:sz w:val="22"/>
        </w:rPr>
        <w:t>&lt;</w:t>
      </w:r>
      <w:hyperlink r:id="rId9" w:history="1">
        <w:r w:rsidR="006F33DA" w:rsidRPr="00AD77A1">
          <w:rPr>
            <w:rStyle w:val="Hyperlink"/>
            <w:sz w:val="22"/>
          </w:rPr>
          <w:t>https://divida.apps.tcu.gov.br/calculadora-debito</w:t>
        </w:r>
      </w:hyperlink>
      <w:r w:rsidR="006F33DA">
        <w:rPr>
          <w:sz w:val="22"/>
        </w:rPr>
        <w:t>&gt;</w:t>
      </w:r>
      <w:r w:rsidR="00545A12" w:rsidRPr="009E584A">
        <w:rPr>
          <w:sz w:val="22"/>
        </w:rPr>
        <w:t>, acesso em 12 ago. 2024.</w:t>
      </w:r>
    </w:p>
    <w:p w14:paraId="06B3A71B" w14:textId="02F7EC89" w:rsidR="004F0908" w:rsidRDefault="00DF1CCC" w:rsidP="00DF1CCC">
      <w:pPr>
        <w:pStyle w:val="ArtigoFasul"/>
        <w:rPr>
          <w:sz w:val="22"/>
        </w:rPr>
      </w:pPr>
      <w:r w:rsidRPr="009E584A">
        <w:rPr>
          <w:sz w:val="22"/>
        </w:rPr>
        <w:t xml:space="preserve">Fonte: </w:t>
      </w:r>
      <w:r w:rsidR="007B653D" w:rsidRPr="009E584A">
        <w:rPr>
          <w:sz w:val="22"/>
        </w:rPr>
        <w:t>Elaboração própria, a partir de dados da página “TCU e a Lava Jato”, e informações colhidas a partir da consulta</w:t>
      </w:r>
      <w:r w:rsidR="00D85889">
        <w:rPr>
          <w:sz w:val="22"/>
        </w:rPr>
        <w:t xml:space="preserve"> de cada um dos acórdãos por meio da ferramenta “Pesquisa Integrada” do TCU</w:t>
      </w:r>
      <w:r w:rsidR="007C3195">
        <w:rPr>
          <w:rStyle w:val="Refdenotaderodap"/>
          <w:sz w:val="22"/>
        </w:rPr>
        <w:footnoteReference w:id="4"/>
      </w:r>
      <w:r w:rsidR="006F33DA">
        <w:rPr>
          <w:sz w:val="22"/>
        </w:rPr>
        <w:t>.</w:t>
      </w:r>
    </w:p>
    <w:p w14:paraId="57B3B470" w14:textId="77777777" w:rsidR="008379FB" w:rsidRPr="009E584A" w:rsidRDefault="008379FB" w:rsidP="00DF1CCC">
      <w:pPr>
        <w:pStyle w:val="ArtigoFasul"/>
        <w:rPr>
          <w:sz w:val="22"/>
        </w:rPr>
      </w:pPr>
    </w:p>
    <w:p w14:paraId="0350D5D2" w14:textId="7BBD757F" w:rsidR="00BE5380" w:rsidRDefault="00863D94" w:rsidP="00863D94">
      <w:pPr>
        <w:pStyle w:val="ArtigoFasul"/>
        <w:ind w:firstLine="708"/>
      </w:pPr>
      <w:r>
        <w:t xml:space="preserve">De posse desses dados, </w:t>
      </w:r>
      <w:r w:rsidR="00D931F1">
        <w:t xml:space="preserve">fez-se uma amostra para análise </w:t>
      </w:r>
      <w:r w:rsidR="00E3314A">
        <w:t>das três empresas cu</w:t>
      </w:r>
      <w:r w:rsidR="004C7C81">
        <w:t>jo somatório das</w:t>
      </w:r>
      <w:r w:rsidR="00E3314A">
        <w:t xml:space="preserve"> dívidas </w:t>
      </w:r>
      <w:r w:rsidR="001D43C1">
        <w:t>imputadas pelo TCU</w:t>
      </w:r>
      <w:r w:rsidR="004C7C81">
        <w:t xml:space="preserve"> publicadas no sítio eletrônico supramencionado</w:t>
      </w:r>
      <w:r w:rsidR="001D43C1">
        <w:t xml:space="preserve"> fosse de maior materialidade, conforme a seguir:</w:t>
      </w:r>
    </w:p>
    <w:p w14:paraId="2F6BB507" w14:textId="77777777" w:rsidR="008379FB" w:rsidRDefault="008379FB" w:rsidP="00863D94">
      <w:pPr>
        <w:pStyle w:val="ArtigoFasul"/>
        <w:ind w:firstLine="708"/>
      </w:pPr>
    </w:p>
    <w:p w14:paraId="32469102" w14:textId="70F465F1" w:rsidR="00CD2322" w:rsidRPr="00CD2322" w:rsidRDefault="00CD2322" w:rsidP="00CD2322">
      <w:pPr>
        <w:pStyle w:val="Legenda"/>
        <w:keepNext/>
        <w:jc w:val="center"/>
        <w:rPr>
          <w:rFonts w:ascii="Arial" w:hAnsi="Arial" w:cs="Arial"/>
          <w:i w:val="0"/>
          <w:iCs w:val="0"/>
          <w:color w:val="auto"/>
          <w:sz w:val="24"/>
          <w:szCs w:val="24"/>
        </w:rPr>
      </w:pPr>
      <w:r w:rsidRPr="00CD2322">
        <w:rPr>
          <w:rFonts w:ascii="Arial" w:hAnsi="Arial" w:cs="Arial"/>
          <w:b/>
          <w:bCs/>
          <w:i w:val="0"/>
          <w:iCs w:val="0"/>
          <w:color w:val="auto"/>
          <w:sz w:val="24"/>
          <w:szCs w:val="24"/>
        </w:rPr>
        <w:t xml:space="preserve">Tabela </w:t>
      </w:r>
      <w:r w:rsidRPr="00CD2322">
        <w:rPr>
          <w:rFonts w:ascii="Arial" w:hAnsi="Arial" w:cs="Arial"/>
          <w:b/>
          <w:bCs/>
          <w:i w:val="0"/>
          <w:iCs w:val="0"/>
          <w:color w:val="auto"/>
          <w:sz w:val="24"/>
          <w:szCs w:val="24"/>
        </w:rPr>
        <w:fldChar w:fldCharType="begin"/>
      </w:r>
      <w:r w:rsidRPr="00CD2322">
        <w:rPr>
          <w:rFonts w:ascii="Arial" w:hAnsi="Arial" w:cs="Arial"/>
          <w:b/>
          <w:bCs/>
          <w:i w:val="0"/>
          <w:iCs w:val="0"/>
          <w:color w:val="auto"/>
          <w:sz w:val="24"/>
          <w:szCs w:val="24"/>
        </w:rPr>
        <w:instrText xml:space="preserve"> SEQ Tabela \* ARABIC </w:instrText>
      </w:r>
      <w:r w:rsidRPr="00CD2322">
        <w:rPr>
          <w:rFonts w:ascii="Arial" w:hAnsi="Arial" w:cs="Arial"/>
          <w:b/>
          <w:bCs/>
          <w:i w:val="0"/>
          <w:iCs w:val="0"/>
          <w:color w:val="auto"/>
          <w:sz w:val="24"/>
          <w:szCs w:val="24"/>
        </w:rPr>
        <w:fldChar w:fldCharType="separate"/>
      </w:r>
      <w:r w:rsidR="00671FB0">
        <w:rPr>
          <w:rFonts w:ascii="Arial" w:hAnsi="Arial" w:cs="Arial"/>
          <w:b/>
          <w:bCs/>
          <w:i w:val="0"/>
          <w:iCs w:val="0"/>
          <w:noProof/>
          <w:color w:val="auto"/>
          <w:sz w:val="24"/>
          <w:szCs w:val="24"/>
        </w:rPr>
        <w:t>2</w:t>
      </w:r>
      <w:r w:rsidRPr="00CD2322">
        <w:rPr>
          <w:rFonts w:ascii="Arial" w:hAnsi="Arial" w:cs="Arial"/>
          <w:b/>
          <w:bCs/>
          <w:i w:val="0"/>
          <w:iCs w:val="0"/>
          <w:color w:val="auto"/>
          <w:sz w:val="24"/>
          <w:szCs w:val="24"/>
        </w:rPr>
        <w:fldChar w:fldCharType="end"/>
      </w:r>
      <w:r w:rsidRPr="00CD2322">
        <w:rPr>
          <w:rFonts w:ascii="Arial" w:hAnsi="Arial" w:cs="Arial"/>
          <w:i w:val="0"/>
          <w:iCs w:val="0"/>
          <w:color w:val="auto"/>
          <w:sz w:val="24"/>
          <w:szCs w:val="24"/>
        </w:rPr>
        <w:t xml:space="preserve"> - Somatório de valores de débitos </w:t>
      </w:r>
      <w:r w:rsidRPr="00CD2322">
        <w:rPr>
          <w:rFonts w:ascii="Arial" w:hAnsi="Arial" w:cs="Arial"/>
          <w:i w:val="0"/>
          <w:iCs w:val="0"/>
          <w:noProof/>
          <w:color w:val="auto"/>
          <w:sz w:val="24"/>
          <w:szCs w:val="24"/>
        </w:rPr>
        <w:t>atualizados extraídos a partir da página "TCU e a Lava Jato"</w:t>
      </w:r>
    </w:p>
    <w:tbl>
      <w:tblPr>
        <w:tblW w:w="900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0"/>
        <w:gridCol w:w="4660"/>
      </w:tblGrid>
      <w:tr w:rsidR="00CD2322" w:rsidRPr="00CD2322" w14:paraId="217B2C19" w14:textId="77777777" w:rsidTr="008379FB">
        <w:trPr>
          <w:trHeight w:val="300"/>
          <w:tblHeader/>
        </w:trPr>
        <w:tc>
          <w:tcPr>
            <w:tcW w:w="4340" w:type="dxa"/>
            <w:shd w:val="clear" w:color="auto" w:fill="auto"/>
            <w:noWrap/>
            <w:vAlign w:val="center"/>
            <w:hideMark/>
          </w:tcPr>
          <w:p w14:paraId="26E1E86B" w14:textId="77777777" w:rsidR="00CD2322" w:rsidRPr="00CD2322" w:rsidRDefault="00CD2322" w:rsidP="00CD2322">
            <w:pPr>
              <w:spacing w:after="0" w:line="240" w:lineRule="auto"/>
              <w:jc w:val="center"/>
              <w:rPr>
                <w:rFonts w:ascii="Arial" w:eastAsia="Times New Roman" w:hAnsi="Arial" w:cs="Arial"/>
                <w:b/>
                <w:bCs/>
                <w:color w:val="000000"/>
                <w:kern w:val="0"/>
                <w:sz w:val="24"/>
                <w:szCs w:val="24"/>
                <w:lang w:eastAsia="pt-BR"/>
                <w14:ligatures w14:val="none"/>
              </w:rPr>
            </w:pPr>
            <w:r w:rsidRPr="00CD2322">
              <w:rPr>
                <w:rFonts w:ascii="Arial" w:eastAsia="Times New Roman" w:hAnsi="Arial" w:cs="Arial"/>
                <w:b/>
                <w:bCs/>
                <w:color w:val="000000"/>
                <w:kern w:val="0"/>
                <w:sz w:val="24"/>
                <w:szCs w:val="24"/>
                <w:lang w:eastAsia="pt-BR"/>
                <w14:ligatures w14:val="none"/>
              </w:rPr>
              <w:t>Empresa</w:t>
            </w:r>
          </w:p>
        </w:tc>
        <w:tc>
          <w:tcPr>
            <w:tcW w:w="4660" w:type="dxa"/>
            <w:shd w:val="clear" w:color="auto" w:fill="auto"/>
            <w:noWrap/>
            <w:vAlign w:val="center"/>
            <w:hideMark/>
          </w:tcPr>
          <w:p w14:paraId="439E0D90" w14:textId="0C1BCEBF" w:rsidR="00CD2322" w:rsidRPr="00CD2322" w:rsidRDefault="00CD2322" w:rsidP="00CD2322">
            <w:pPr>
              <w:spacing w:after="0" w:line="240" w:lineRule="auto"/>
              <w:jc w:val="center"/>
              <w:rPr>
                <w:rFonts w:ascii="Arial" w:eastAsia="Times New Roman" w:hAnsi="Arial" w:cs="Arial"/>
                <w:b/>
                <w:bCs/>
                <w:color w:val="000000"/>
                <w:kern w:val="0"/>
                <w:sz w:val="24"/>
                <w:szCs w:val="24"/>
                <w:lang w:eastAsia="pt-BR"/>
                <w14:ligatures w14:val="none"/>
              </w:rPr>
            </w:pPr>
            <w:r w:rsidRPr="00CD2322">
              <w:rPr>
                <w:rFonts w:ascii="Arial" w:eastAsia="Times New Roman" w:hAnsi="Arial" w:cs="Arial"/>
                <w:b/>
                <w:bCs/>
                <w:color w:val="000000"/>
                <w:kern w:val="0"/>
                <w:sz w:val="24"/>
                <w:szCs w:val="24"/>
                <w:lang w:eastAsia="pt-BR"/>
                <w14:ligatures w14:val="none"/>
              </w:rPr>
              <w:t>Somatório de</w:t>
            </w:r>
            <w:r w:rsidR="00FE1B78">
              <w:rPr>
                <w:rFonts w:ascii="Arial" w:eastAsia="Times New Roman" w:hAnsi="Arial" w:cs="Arial"/>
                <w:b/>
                <w:bCs/>
                <w:color w:val="000000"/>
                <w:kern w:val="0"/>
                <w:sz w:val="24"/>
                <w:szCs w:val="24"/>
                <w:lang w:eastAsia="pt-BR"/>
                <w14:ligatures w14:val="none"/>
              </w:rPr>
              <w:t xml:space="preserve"> valores de</w:t>
            </w:r>
            <w:r w:rsidRPr="00CD2322">
              <w:rPr>
                <w:rFonts w:ascii="Arial" w:eastAsia="Times New Roman" w:hAnsi="Arial" w:cs="Arial"/>
                <w:b/>
                <w:bCs/>
                <w:color w:val="000000"/>
                <w:kern w:val="0"/>
                <w:sz w:val="24"/>
                <w:szCs w:val="24"/>
                <w:lang w:eastAsia="pt-BR"/>
                <w14:ligatures w14:val="none"/>
              </w:rPr>
              <w:t xml:space="preserve"> débitos atualizado</w:t>
            </w:r>
            <w:r w:rsidR="00F22FC3">
              <w:rPr>
                <w:rFonts w:ascii="Arial" w:eastAsia="Times New Roman" w:hAnsi="Arial" w:cs="Arial"/>
                <w:b/>
                <w:bCs/>
                <w:color w:val="000000"/>
                <w:kern w:val="0"/>
                <w:sz w:val="24"/>
                <w:szCs w:val="24"/>
                <w:lang w:eastAsia="pt-BR"/>
                <w14:ligatures w14:val="none"/>
              </w:rPr>
              <w:t>s</w:t>
            </w:r>
          </w:p>
        </w:tc>
      </w:tr>
      <w:tr w:rsidR="00CD2322" w:rsidRPr="00CD2322" w14:paraId="26FD24BF" w14:textId="77777777" w:rsidTr="00CD2322">
        <w:trPr>
          <w:trHeight w:val="300"/>
        </w:trPr>
        <w:tc>
          <w:tcPr>
            <w:tcW w:w="4340" w:type="dxa"/>
            <w:shd w:val="clear" w:color="auto" w:fill="auto"/>
            <w:noWrap/>
            <w:vAlign w:val="center"/>
            <w:hideMark/>
          </w:tcPr>
          <w:p w14:paraId="0D578C4F"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Construtora Norberto Odebrecht S/A</w:t>
            </w:r>
          </w:p>
        </w:tc>
        <w:tc>
          <w:tcPr>
            <w:tcW w:w="4660" w:type="dxa"/>
            <w:shd w:val="clear" w:color="auto" w:fill="auto"/>
            <w:vAlign w:val="center"/>
            <w:hideMark/>
          </w:tcPr>
          <w:p w14:paraId="72AE6247"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R$ 5.286 milhões</w:t>
            </w:r>
          </w:p>
        </w:tc>
      </w:tr>
      <w:tr w:rsidR="00CD2322" w:rsidRPr="00CD2322" w14:paraId="03D2E909" w14:textId="77777777" w:rsidTr="00CD2322">
        <w:trPr>
          <w:trHeight w:val="300"/>
        </w:trPr>
        <w:tc>
          <w:tcPr>
            <w:tcW w:w="4340" w:type="dxa"/>
            <w:shd w:val="clear" w:color="auto" w:fill="auto"/>
            <w:noWrap/>
            <w:vAlign w:val="center"/>
            <w:hideMark/>
          </w:tcPr>
          <w:p w14:paraId="58777D0A"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Construtora OAS S/A Em Recuperação Judicial</w:t>
            </w:r>
          </w:p>
        </w:tc>
        <w:tc>
          <w:tcPr>
            <w:tcW w:w="4660" w:type="dxa"/>
            <w:shd w:val="clear" w:color="auto" w:fill="auto"/>
            <w:vAlign w:val="center"/>
            <w:hideMark/>
          </w:tcPr>
          <w:p w14:paraId="7B04D7AC"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R$ 4.210 milhões</w:t>
            </w:r>
          </w:p>
        </w:tc>
      </w:tr>
      <w:tr w:rsidR="00CD2322" w:rsidRPr="00CD2322" w14:paraId="1F2A41CD" w14:textId="77777777" w:rsidTr="00CD2322">
        <w:trPr>
          <w:trHeight w:val="300"/>
        </w:trPr>
        <w:tc>
          <w:tcPr>
            <w:tcW w:w="4340" w:type="dxa"/>
            <w:shd w:val="clear" w:color="auto" w:fill="auto"/>
            <w:noWrap/>
            <w:vAlign w:val="center"/>
            <w:hideMark/>
          </w:tcPr>
          <w:p w14:paraId="4D42A203"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Construções e Comércio Camargo Correa S/A</w:t>
            </w:r>
          </w:p>
        </w:tc>
        <w:tc>
          <w:tcPr>
            <w:tcW w:w="4660" w:type="dxa"/>
            <w:shd w:val="clear" w:color="auto" w:fill="auto"/>
            <w:vAlign w:val="center"/>
            <w:hideMark/>
          </w:tcPr>
          <w:p w14:paraId="104E1938"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R$ 3.236,8 milhões</w:t>
            </w:r>
          </w:p>
        </w:tc>
      </w:tr>
      <w:tr w:rsidR="00CD2322" w:rsidRPr="00CD2322" w14:paraId="4991E47A" w14:textId="77777777" w:rsidTr="00CD2322">
        <w:trPr>
          <w:trHeight w:val="300"/>
        </w:trPr>
        <w:tc>
          <w:tcPr>
            <w:tcW w:w="4340" w:type="dxa"/>
            <w:shd w:val="clear" w:color="auto" w:fill="auto"/>
            <w:noWrap/>
            <w:vAlign w:val="center"/>
            <w:hideMark/>
          </w:tcPr>
          <w:p w14:paraId="332B21C0" w14:textId="4CABCF0D"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 xml:space="preserve">Worleyparsons Engenharia </w:t>
            </w:r>
            <w:r w:rsidR="000A15F6" w:rsidRPr="00CD2322">
              <w:rPr>
                <w:rFonts w:ascii="Arial" w:eastAsia="Times New Roman" w:hAnsi="Arial" w:cs="Arial"/>
                <w:color w:val="000000"/>
                <w:kern w:val="0"/>
                <w:sz w:val="24"/>
                <w:szCs w:val="24"/>
                <w:lang w:eastAsia="pt-BR"/>
                <w14:ligatures w14:val="none"/>
              </w:rPr>
              <w:t>Ltda</w:t>
            </w:r>
            <w:r w:rsidRPr="00CD2322">
              <w:rPr>
                <w:rFonts w:ascii="Arial" w:eastAsia="Times New Roman" w:hAnsi="Arial" w:cs="Arial"/>
                <w:color w:val="000000"/>
                <w:kern w:val="0"/>
                <w:sz w:val="24"/>
                <w:szCs w:val="24"/>
                <w:lang w:eastAsia="pt-BR"/>
                <w14:ligatures w14:val="none"/>
              </w:rPr>
              <w:t>.</w:t>
            </w:r>
          </w:p>
        </w:tc>
        <w:tc>
          <w:tcPr>
            <w:tcW w:w="4660" w:type="dxa"/>
            <w:shd w:val="clear" w:color="auto" w:fill="auto"/>
            <w:vAlign w:val="center"/>
            <w:hideMark/>
          </w:tcPr>
          <w:p w14:paraId="18BA9925"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R$ 2.800 milhões</w:t>
            </w:r>
          </w:p>
        </w:tc>
      </w:tr>
      <w:tr w:rsidR="00CD2322" w:rsidRPr="00CD2322" w14:paraId="3B283427" w14:textId="77777777" w:rsidTr="00CD2322">
        <w:trPr>
          <w:trHeight w:val="300"/>
        </w:trPr>
        <w:tc>
          <w:tcPr>
            <w:tcW w:w="4340" w:type="dxa"/>
            <w:shd w:val="clear" w:color="auto" w:fill="auto"/>
            <w:noWrap/>
            <w:vAlign w:val="center"/>
            <w:hideMark/>
          </w:tcPr>
          <w:p w14:paraId="7CF6F375"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Mendes Júnior Trading e Engenharia S/A</w:t>
            </w:r>
          </w:p>
        </w:tc>
        <w:tc>
          <w:tcPr>
            <w:tcW w:w="4660" w:type="dxa"/>
            <w:shd w:val="clear" w:color="auto" w:fill="auto"/>
            <w:vAlign w:val="center"/>
            <w:hideMark/>
          </w:tcPr>
          <w:p w14:paraId="28E6D939"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R$ 2.052 milhões</w:t>
            </w:r>
          </w:p>
        </w:tc>
      </w:tr>
      <w:tr w:rsidR="00CD2322" w:rsidRPr="00CD2322" w14:paraId="7BD92CBB" w14:textId="77777777" w:rsidTr="00CD2322">
        <w:trPr>
          <w:trHeight w:val="300"/>
        </w:trPr>
        <w:tc>
          <w:tcPr>
            <w:tcW w:w="4340" w:type="dxa"/>
            <w:shd w:val="clear" w:color="auto" w:fill="auto"/>
            <w:noWrap/>
            <w:vAlign w:val="center"/>
            <w:hideMark/>
          </w:tcPr>
          <w:p w14:paraId="10658AD9"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MPE Montagens e Projetos Especiais</w:t>
            </w:r>
          </w:p>
        </w:tc>
        <w:tc>
          <w:tcPr>
            <w:tcW w:w="4660" w:type="dxa"/>
            <w:shd w:val="clear" w:color="auto" w:fill="auto"/>
            <w:vAlign w:val="center"/>
            <w:hideMark/>
          </w:tcPr>
          <w:p w14:paraId="228C4FAC"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R$ 2.052 milhões</w:t>
            </w:r>
          </w:p>
        </w:tc>
      </w:tr>
      <w:tr w:rsidR="00CD2322" w:rsidRPr="00CD2322" w14:paraId="796B3BAA" w14:textId="77777777" w:rsidTr="00CD2322">
        <w:trPr>
          <w:trHeight w:val="300"/>
        </w:trPr>
        <w:tc>
          <w:tcPr>
            <w:tcW w:w="4340" w:type="dxa"/>
            <w:shd w:val="clear" w:color="auto" w:fill="auto"/>
            <w:noWrap/>
            <w:vAlign w:val="center"/>
            <w:hideMark/>
          </w:tcPr>
          <w:p w14:paraId="55960B6D"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SOG - Óleo e Gás S/A</w:t>
            </w:r>
          </w:p>
        </w:tc>
        <w:tc>
          <w:tcPr>
            <w:tcW w:w="4660" w:type="dxa"/>
            <w:shd w:val="clear" w:color="auto" w:fill="auto"/>
            <w:vAlign w:val="center"/>
            <w:hideMark/>
          </w:tcPr>
          <w:p w14:paraId="78413A6C"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R$ 2.052 milhões</w:t>
            </w:r>
          </w:p>
        </w:tc>
      </w:tr>
      <w:tr w:rsidR="00CD2322" w:rsidRPr="00CD2322" w14:paraId="0E5096D4" w14:textId="77777777" w:rsidTr="00CD2322">
        <w:trPr>
          <w:trHeight w:val="300"/>
        </w:trPr>
        <w:tc>
          <w:tcPr>
            <w:tcW w:w="4340" w:type="dxa"/>
            <w:shd w:val="clear" w:color="auto" w:fill="auto"/>
            <w:noWrap/>
            <w:vAlign w:val="center"/>
            <w:hideMark/>
          </w:tcPr>
          <w:p w14:paraId="21DCE178"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UTC Engenharia S.A.</w:t>
            </w:r>
          </w:p>
        </w:tc>
        <w:tc>
          <w:tcPr>
            <w:tcW w:w="4660" w:type="dxa"/>
            <w:shd w:val="clear" w:color="auto" w:fill="auto"/>
            <w:vAlign w:val="center"/>
            <w:hideMark/>
          </w:tcPr>
          <w:p w14:paraId="31C2840C"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R$ 1.076 milhões</w:t>
            </w:r>
          </w:p>
        </w:tc>
      </w:tr>
      <w:tr w:rsidR="00CD2322" w:rsidRPr="00CD2322" w14:paraId="7DD6FD78" w14:textId="77777777" w:rsidTr="00CD2322">
        <w:trPr>
          <w:trHeight w:val="300"/>
        </w:trPr>
        <w:tc>
          <w:tcPr>
            <w:tcW w:w="4340" w:type="dxa"/>
            <w:shd w:val="clear" w:color="auto" w:fill="auto"/>
            <w:noWrap/>
            <w:vAlign w:val="center"/>
            <w:hideMark/>
          </w:tcPr>
          <w:p w14:paraId="44B70E05"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Toyo Engineering Corporation</w:t>
            </w:r>
          </w:p>
        </w:tc>
        <w:tc>
          <w:tcPr>
            <w:tcW w:w="4660" w:type="dxa"/>
            <w:shd w:val="clear" w:color="auto" w:fill="auto"/>
            <w:vAlign w:val="center"/>
            <w:hideMark/>
          </w:tcPr>
          <w:p w14:paraId="3DA1A8D6"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R$ 1.076 milhões</w:t>
            </w:r>
          </w:p>
        </w:tc>
      </w:tr>
      <w:tr w:rsidR="00CD2322" w:rsidRPr="00CD2322" w14:paraId="2CDA8005" w14:textId="77777777" w:rsidTr="00CD2322">
        <w:trPr>
          <w:trHeight w:val="300"/>
        </w:trPr>
        <w:tc>
          <w:tcPr>
            <w:tcW w:w="4340" w:type="dxa"/>
            <w:shd w:val="clear" w:color="auto" w:fill="auto"/>
            <w:noWrap/>
            <w:vAlign w:val="center"/>
            <w:hideMark/>
          </w:tcPr>
          <w:p w14:paraId="3BC6DBBB"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STE Serviços Técnicos de Engenharia S/A</w:t>
            </w:r>
          </w:p>
        </w:tc>
        <w:tc>
          <w:tcPr>
            <w:tcW w:w="4660" w:type="dxa"/>
            <w:shd w:val="clear" w:color="auto" w:fill="auto"/>
            <w:vAlign w:val="center"/>
            <w:hideMark/>
          </w:tcPr>
          <w:p w14:paraId="56E86794"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R$ 467,6 milhões</w:t>
            </w:r>
          </w:p>
        </w:tc>
      </w:tr>
      <w:tr w:rsidR="00CD2322" w:rsidRPr="00CD2322" w14:paraId="6817A4EC" w14:textId="77777777" w:rsidTr="00CD2322">
        <w:trPr>
          <w:trHeight w:val="300"/>
        </w:trPr>
        <w:tc>
          <w:tcPr>
            <w:tcW w:w="4340" w:type="dxa"/>
            <w:shd w:val="clear" w:color="auto" w:fill="auto"/>
            <w:noWrap/>
            <w:vAlign w:val="center"/>
            <w:hideMark/>
          </w:tcPr>
          <w:p w14:paraId="556DFED5"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SPA Engenharia Indústria e Comércio Ltda.</w:t>
            </w:r>
          </w:p>
        </w:tc>
        <w:tc>
          <w:tcPr>
            <w:tcW w:w="4660" w:type="dxa"/>
            <w:shd w:val="clear" w:color="auto" w:fill="auto"/>
            <w:vAlign w:val="center"/>
            <w:hideMark/>
          </w:tcPr>
          <w:p w14:paraId="77D60200"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R$ 354,5 milhões</w:t>
            </w:r>
          </w:p>
        </w:tc>
      </w:tr>
      <w:tr w:rsidR="00CD2322" w:rsidRPr="00CD2322" w14:paraId="1695EF13" w14:textId="77777777" w:rsidTr="00CD2322">
        <w:trPr>
          <w:trHeight w:val="300"/>
        </w:trPr>
        <w:tc>
          <w:tcPr>
            <w:tcW w:w="4340" w:type="dxa"/>
            <w:shd w:val="clear" w:color="auto" w:fill="auto"/>
            <w:noWrap/>
            <w:vAlign w:val="center"/>
            <w:hideMark/>
          </w:tcPr>
          <w:p w14:paraId="6E1ED35D"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lastRenderedPageBreak/>
              <w:t>Constran S/A - Construções e Comércio</w:t>
            </w:r>
          </w:p>
        </w:tc>
        <w:tc>
          <w:tcPr>
            <w:tcW w:w="4660" w:type="dxa"/>
            <w:shd w:val="clear" w:color="auto" w:fill="auto"/>
            <w:vAlign w:val="center"/>
            <w:hideMark/>
          </w:tcPr>
          <w:p w14:paraId="2F9F8AA0"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R$ 317,5 milhões</w:t>
            </w:r>
          </w:p>
        </w:tc>
      </w:tr>
      <w:tr w:rsidR="00CD2322" w:rsidRPr="00CD2322" w14:paraId="0E6C2EC6" w14:textId="77777777" w:rsidTr="00CD2322">
        <w:trPr>
          <w:trHeight w:val="300"/>
        </w:trPr>
        <w:tc>
          <w:tcPr>
            <w:tcW w:w="4340" w:type="dxa"/>
            <w:shd w:val="clear" w:color="auto" w:fill="auto"/>
            <w:noWrap/>
            <w:vAlign w:val="center"/>
            <w:hideMark/>
          </w:tcPr>
          <w:p w14:paraId="1101624E"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Andrade Gutierrez Engenharia S/A</w:t>
            </w:r>
          </w:p>
        </w:tc>
        <w:tc>
          <w:tcPr>
            <w:tcW w:w="4660" w:type="dxa"/>
            <w:shd w:val="clear" w:color="auto" w:fill="auto"/>
            <w:vAlign w:val="center"/>
            <w:hideMark/>
          </w:tcPr>
          <w:p w14:paraId="7D24F8DD"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R$ 245,2 milhões</w:t>
            </w:r>
          </w:p>
        </w:tc>
      </w:tr>
      <w:tr w:rsidR="00CD2322" w:rsidRPr="00CD2322" w14:paraId="1A2EAF29" w14:textId="77777777" w:rsidTr="00CD2322">
        <w:trPr>
          <w:trHeight w:val="300"/>
        </w:trPr>
        <w:tc>
          <w:tcPr>
            <w:tcW w:w="4340" w:type="dxa"/>
            <w:shd w:val="clear" w:color="auto" w:fill="auto"/>
            <w:noWrap/>
            <w:vAlign w:val="center"/>
            <w:hideMark/>
          </w:tcPr>
          <w:p w14:paraId="674B1867"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Construtora Queiroz Galvão S/A</w:t>
            </w:r>
          </w:p>
        </w:tc>
        <w:tc>
          <w:tcPr>
            <w:tcW w:w="4660" w:type="dxa"/>
            <w:shd w:val="clear" w:color="auto" w:fill="auto"/>
            <w:vAlign w:val="center"/>
            <w:hideMark/>
          </w:tcPr>
          <w:p w14:paraId="46F40348" w14:textId="77777777" w:rsidR="00CD2322" w:rsidRPr="00CD2322" w:rsidRDefault="00CD2322" w:rsidP="00CD2322">
            <w:pPr>
              <w:spacing w:after="0" w:line="240" w:lineRule="auto"/>
              <w:rPr>
                <w:rFonts w:ascii="Arial" w:eastAsia="Times New Roman" w:hAnsi="Arial" w:cs="Arial"/>
                <w:color w:val="000000"/>
                <w:kern w:val="0"/>
                <w:sz w:val="24"/>
                <w:szCs w:val="24"/>
                <w:lang w:eastAsia="pt-BR"/>
                <w14:ligatures w14:val="none"/>
              </w:rPr>
            </w:pPr>
            <w:r w:rsidRPr="00CD2322">
              <w:rPr>
                <w:rFonts w:ascii="Arial" w:eastAsia="Times New Roman" w:hAnsi="Arial" w:cs="Arial"/>
                <w:color w:val="000000"/>
                <w:kern w:val="0"/>
                <w:sz w:val="24"/>
                <w:szCs w:val="24"/>
                <w:lang w:eastAsia="pt-BR"/>
                <w14:ligatures w14:val="none"/>
              </w:rPr>
              <w:t>R$ 83,7 milhões</w:t>
            </w:r>
          </w:p>
        </w:tc>
      </w:tr>
    </w:tbl>
    <w:p w14:paraId="6C687116" w14:textId="37A7569D" w:rsidR="00CD2322" w:rsidRDefault="00CD2322" w:rsidP="00CD2322">
      <w:pPr>
        <w:pStyle w:val="ArtigoFasul"/>
      </w:pPr>
      <w:r>
        <w:t xml:space="preserve">Fonte: Elaboração própria, a partir dos dados expostos </w:t>
      </w:r>
      <w:r w:rsidR="00C067F6">
        <w:t>tabela 1.</w:t>
      </w:r>
    </w:p>
    <w:p w14:paraId="33B0D9CA" w14:textId="77777777" w:rsidR="00CD2322" w:rsidRDefault="00CD2322" w:rsidP="00987AA3">
      <w:pPr>
        <w:pStyle w:val="ArtigoFasul"/>
        <w:ind w:firstLine="708"/>
      </w:pPr>
    </w:p>
    <w:p w14:paraId="1190E9F3" w14:textId="258A9ADB" w:rsidR="00BE388A" w:rsidRDefault="00BE388A" w:rsidP="00987AA3">
      <w:pPr>
        <w:pStyle w:val="ArtigoFasul"/>
        <w:ind w:firstLine="708"/>
      </w:pPr>
      <w:r>
        <w:t>Portanto, a amostra das três empresas a serem pesquisadas no presente estudo são: Construtora Norberto Odebrecht S/A, Construtora OAS S/A Em Recuperação Judicial</w:t>
      </w:r>
      <w:r w:rsidR="007C3195">
        <w:t xml:space="preserve"> e</w:t>
      </w:r>
      <w:r>
        <w:t xml:space="preserve"> Construções e Comércio Camargo Correa S/A.</w:t>
      </w:r>
    </w:p>
    <w:p w14:paraId="68CF1605" w14:textId="6B8CA19E" w:rsidR="00094377" w:rsidRDefault="00D676DF" w:rsidP="00987AA3">
      <w:pPr>
        <w:pStyle w:val="ArtigoFasul"/>
        <w:ind w:firstLine="708"/>
      </w:pPr>
      <w:r>
        <w:t xml:space="preserve">Em seguida, </w:t>
      </w:r>
      <w:r w:rsidR="00F8511E">
        <w:t>pesquisou-se a atual situação cadastral dessas empresas junto à Receita Federal do Brasil</w:t>
      </w:r>
      <w:r w:rsidR="00094377">
        <w:rPr>
          <w:rStyle w:val="Refdenotaderodap"/>
        </w:rPr>
        <w:footnoteReference w:id="5"/>
      </w:r>
      <w:r w:rsidR="00F8511E">
        <w:t>, por meio de seu número de Cadastro Nacional de Pessoas Jurídicas (CNPJ), visando examinar</w:t>
      </w:r>
      <w:r w:rsidR="00094377">
        <w:t xml:space="preserve"> a ocorrência de</w:t>
      </w:r>
      <w:r w:rsidR="00F8511E">
        <w:t xml:space="preserve"> eventuais alterações societárias ou de razão social</w:t>
      </w:r>
      <w:r w:rsidR="00094377">
        <w:t xml:space="preserve">. </w:t>
      </w:r>
    </w:p>
    <w:p w14:paraId="01200740" w14:textId="3675B6E0" w:rsidR="005513A4" w:rsidRDefault="00B72D0E" w:rsidP="00987AA3">
      <w:pPr>
        <w:pStyle w:val="ArtigoFasul"/>
        <w:ind w:firstLine="708"/>
      </w:pPr>
      <w:r>
        <w:t>Ato contínuo</w:t>
      </w:r>
      <w:r w:rsidR="00F8511E">
        <w:t xml:space="preserve">, </w:t>
      </w:r>
      <w:r w:rsidR="00D676DF">
        <w:t>buscou-se o sítio eletrônico oficial de cada uma das empresas</w:t>
      </w:r>
      <w:r w:rsidR="00BC0192">
        <w:t xml:space="preserve">, a fim de acessar </w:t>
      </w:r>
      <w:r w:rsidR="00D676DF">
        <w:t>suas demonstrações contábeis</w:t>
      </w:r>
      <w:r w:rsidR="00E16D83">
        <w:t xml:space="preserve">. </w:t>
      </w:r>
      <w:r w:rsidR="00690CA9">
        <w:t xml:space="preserve">Por </w:t>
      </w:r>
      <w:r w:rsidR="008C7A6A">
        <w:t>último</w:t>
      </w:r>
      <w:r w:rsidR="00987AA3">
        <w:t>, fez-se uma revisão das demonstrações contábeis das três empresas incluídas na amostra</w:t>
      </w:r>
      <w:r w:rsidR="00E16D83">
        <w:t xml:space="preserve"> a fim de identificar qual o tratamento contábil dado a dívidas imputadas pelo TCU.</w:t>
      </w:r>
    </w:p>
    <w:p w14:paraId="74B99496" w14:textId="77777777" w:rsidR="005513A4" w:rsidRPr="00FB219C" w:rsidRDefault="005513A4" w:rsidP="00FB219C"/>
    <w:p w14:paraId="72B33ABF" w14:textId="1A368A3A" w:rsidR="005513A4" w:rsidRPr="00AF19DE" w:rsidRDefault="004645CC" w:rsidP="005513A4">
      <w:pPr>
        <w:pStyle w:val="Ttulo2"/>
        <w:numPr>
          <w:ilvl w:val="0"/>
          <w:numId w:val="1"/>
        </w:numPr>
        <w:ind w:left="0" w:firstLine="0"/>
        <w:rPr>
          <w:rFonts w:ascii="Arial" w:hAnsi="Arial" w:cs="Arial"/>
          <w:b/>
          <w:bCs/>
          <w:color w:val="auto"/>
          <w:sz w:val="24"/>
          <w:szCs w:val="24"/>
        </w:rPr>
      </w:pPr>
      <w:r w:rsidRPr="00AF19DE">
        <w:rPr>
          <w:rFonts w:ascii="Arial" w:hAnsi="Arial" w:cs="Arial"/>
          <w:b/>
          <w:bCs/>
          <w:color w:val="auto"/>
          <w:sz w:val="24"/>
          <w:szCs w:val="24"/>
        </w:rPr>
        <w:t>RESULTADOS E DISCUSSÕES</w:t>
      </w:r>
    </w:p>
    <w:p w14:paraId="7BBEAAA5" w14:textId="77777777" w:rsidR="000116F1" w:rsidRDefault="000116F1" w:rsidP="00DA7B57">
      <w:pPr>
        <w:pStyle w:val="ArtigoFasul"/>
        <w:ind w:firstLine="708"/>
      </w:pPr>
    </w:p>
    <w:p w14:paraId="588A8E96" w14:textId="77777777" w:rsidR="000116F1" w:rsidRDefault="000116F1" w:rsidP="000116F1">
      <w:pPr>
        <w:pStyle w:val="ArtigoFasul"/>
        <w:ind w:firstLine="708"/>
      </w:pPr>
      <w:r>
        <w:t>Primeiramente, verificou-se que as três empresas componentes da amostra passaram por modificações societárias relevantes.</w:t>
      </w:r>
    </w:p>
    <w:p w14:paraId="7936D6F9" w14:textId="641674DB" w:rsidR="001F1AEB" w:rsidRDefault="000116F1" w:rsidP="001F1AEB">
      <w:pPr>
        <w:pStyle w:val="ArtigoFasul"/>
        <w:ind w:firstLine="708"/>
      </w:pPr>
      <w:r>
        <w:t>A Construtora Norberto Odebrecht S/A passou a girar sob a razão social de CNO S.A., conforme consulta feita ao comprovante de inscrição de pessoa jurídica da Receita Federal do Brasil (CNPJ), e passou a ser diretamente controlada pela empresa Odebrecht Engenharia e Construção S/A com participação direta de 97,96% do capital social da CNO (OEC, 2023). Em razão disso, as demonstrações contábeis da OEC passaram a consolidar os dados da controlada CNO.</w:t>
      </w:r>
    </w:p>
    <w:p w14:paraId="7B486076" w14:textId="1A0D0B0F" w:rsidR="001F1AEB" w:rsidRDefault="001F1AEB" w:rsidP="001F1AEB">
      <w:pPr>
        <w:pStyle w:val="ArtigoFasul"/>
        <w:ind w:firstLine="708"/>
      </w:pPr>
      <w:r>
        <w:lastRenderedPageBreak/>
        <w:t>Já a Construtora OAS S/A Em Recuperação Judicial</w:t>
      </w:r>
      <w:r w:rsidR="00190CCC">
        <w:t xml:space="preserve"> teve sua razão social modificada para </w:t>
      </w:r>
      <w:r w:rsidR="008C459A">
        <w:t xml:space="preserve">Construtora Coesa S/A – Em Recuperação Judicial, conforme consulta feita a base de dados de CNPJ da Receita Federal do Brasil. </w:t>
      </w:r>
    </w:p>
    <w:p w14:paraId="0DA49020" w14:textId="790E9FE9" w:rsidR="001F1AEB" w:rsidRDefault="001F1AEB" w:rsidP="001F1AEB">
      <w:pPr>
        <w:pStyle w:val="ArtigoFasul"/>
        <w:ind w:firstLine="708"/>
      </w:pPr>
      <w:r>
        <w:t xml:space="preserve">Por fim, a empresa Construções e Comércio Camargo Correa S/A </w:t>
      </w:r>
      <w:r w:rsidR="00C364A5">
        <w:t>prossegue com a mesma razão social, conforme dados do CNPJ da Receita Federal do Brasil.</w:t>
      </w:r>
    </w:p>
    <w:p w14:paraId="374866CB" w14:textId="77777777" w:rsidR="001F1AEB" w:rsidRDefault="001F1AEB" w:rsidP="001F1AEB">
      <w:pPr>
        <w:pStyle w:val="ArtigoFasul"/>
      </w:pPr>
    </w:p>
    <w:p w14:paraId="3C683D92" w14:textId="77777777" w:rsidR="00BF411A" w:rsidRDefault="00BF411A" w:rsidP="001F1AEB">
      <w:pPr>
        <w:pStyle w:val="ArtigoFasul"/>
      </w:pPr>
    </w:p>
    <w:p w14:paraId="0018863E" w14:textId="5F270CA0" w:rsidR="001F1AEB" w:rsidRPr="001F1AEB" w:rsidRDefault="001F1AEB" w:rsidP="001F1AEB">
      <w:pPr>
        <w:pStyle w:val="Ttulo2"/>
        <w:numPr>
          <w:ilvl w:val="1"/>
          <w:numId w:val="1"/>
        </w:numPr>
        <w:ind w:left="709" w:hanging="709"/>
        <w:rPr>
          <w:rFonts w:ascii="Arial" w:hAnsi="Arial" w:cs="Arial"/>
          <w:b/>
          <w:bCs/>
          <w:color w:val="auto"/>
          <w:sz w:val="24"/>
          <w:szCs w:val="24"/>
        </w:rPr>
      </w:pPr>
      <w:r>
        <w:rPr>
          <w:rFonts w:ascii="Arial" w:hAnsi="Arial" w:cs="Arial"/>
          <w:b/>
          <w:bCs/>
          <w:color w:val="auto"/>
          <w:sz w:val="24"/>
          <w:szCs w:val="24"/>
        </w:rPr>
        <w:t>Demonstrações contábeis da OEC S/A</w:t>
      </w:r>
    </w:p>
    <w:p w14:paraId="1965C5B7" w14:textId="77777777" w:rsidR="001F1AEB" w:rsidRDefault="001F1AEB" w:rsidP="001F1AEB">
      <w:pPr>
        <w:pStyle w:val="ArtigoFasul"/>
      </w:pPr>
    </w:p>
    <w:p w14:paraId="79FD6E68" w14:textId="77777777" w:rsidR="000116F1" w:rsidRDefault="000116F1" w:rsidP="000116F1">
      <w:pPr>
        <w:pStyle w:val="ArtigoFasul"/>
        <w:ind w:firstLine="708"/>
      </w:pPr>
      <w:r>
        <w:t>O balanço patrimonial consolidado da OEC traz os seguintes dados:</w:t>
      </w:r>
    </w:p>
    <w:p w14:paraId="0A817DC0" w14:textId="4A8780F7" w:rsidR="000116F1" w:rsidRPr="007E6FF5" w:rsidRDefault="000116F1" w:rsidP="000116F1">
      <w:pPr>
        <w:pStyle w:val="Legenda"/>
        <w:keepNext/>
        <w:jc w:val="center"/>
        <w:rPr>
          <w:rFonts w:ascii="Arial" w:hAnsi="Arial" w:cs="Arial"/>
          <w:i w:val="0"/>
          <w:iCs w:val="0"/>
          <w:color w:val="auto"/>
          <w:sz w:val="24"/>
          <w:szCs w:val="24"/>
        </w:rPr>
      </w:pPr>
      <w:r w:rsidRPr="007E6FF5">
        <w:rPr>
          <w:rFonts w:ascii="Arial" w:hAnsi="Arial" w:cs="Arial"/>
          <w:b/>
          <w:bCs/>
          <w:i w:val="0"/>
          <w:iCs w:val="0"/>
          <w:color w:val="auto"/>
          <w:sz w:val="24"/>
          <w:szCs w:val="24"/>
        </w:rPr>
        <w:t xml:space="preserve">Figura </w:t>
      </w:r>
      <w:r w:rsidRPr="007E6FF5">
        <w:rPr>
          <w:rFonts w:ascii="Arial" w:hAnsi="Arial" w:cs="Arial"/>
          <w:b/>
          <w:bCs/>
          <w:i w:val="0"/>
          <w:iCs w:val="0"/>
          <w:color w:val="auto"/>
          <w:sz w:val="24"/>
          <w:szCs w:val="24"/>
        </w:rPr>
        <w:fldChar w:fldCharType="begin"/>
      </w:r>
      <w:r w:rsidRPr="007E6FF5">
        <w:rPr>
          <w:rFonts w:ascii="Arial" w:hAnsi="Arial" w:cs="Arial"/>
          <w:b/>
          <w:bCs/>
          <w:i w:val="0"/>
          <w:iCs w:val="0"/>
          <w:color w:val="auto"/>
          <w:sz w:val="24"/>
          <w:szCs w:val="24"/>
        </w:rPr>
        <w:instrText xml:space="preserve"> SEQ Figura \* ARABIC </w:instrText>
      </w:r>
      <w:r w:rsidRPr="007E6FF5">
        <w:rPr>
          <w:rFonts w:ascii="Arial" w:hAnsi="Arial" w:cs="Arial"/>
          <w:b/>
          <w:bCs/>
          <w:i w:val="0"/>
          <w:iCs w:val="0"/>
          <w:color w:val="auto"/>
          <w:sz w:val="24"/>
          <w:szCs w:val="24"/>
        </w:rPr>
        <w:fldChar w:fldCharType="separate"/>
      </w:r>
      <w:r w:rsidR="00671FB0">
        <w:rPr>
          <w:rFonts w:ascii="Arial" w:hAnsi="Arial" w:cs="Arial"/>
          <w:b/>
          <w:bCs/>
          <w:i w:val="0"/>
          <w:iCs w:val="0"/>
          <w:noProof/>
          <w:color w:val="auto"/>
          <w:sz w:val="24"/>
          <w:szCs w:val="24"/>
        </w:rPr>
        <w:t>1</w:t>
      </w:r>
      <w:r w:rsidRPr="007E6FF5">
        <w:rPr>
          <w:rFonts w:ascii="Arial" w:hAnsi="Arial" w:cs="Arial"/>
          <w:b/>
          <w:bCs/>
          <w:i w:val="0"/>
          <w:iCs w:val="0"/>
          <w:color w:val="auto"/>
          <w:sz w:val="24"/>
          <w:szCs w:val="24"/>
        </w:rPr>
        <w:fldChar w:fldCharType="end"/>
      </w:r>
      <w:r w:rsidRPr="007E6FF5">
        <w:rPr>
          <w:rFonts w:ascii="Arial" w:hAnsi="Arial" w:cs="Arial"/>
          <w:i w:val="0"/>
          <w:iCs w:val="0"/>
          <w:color w:val="auto"/>
          <w:sz w:val="24"/>
          <w:szCs w:val="24"/>
        </w:rPr>
        <w:t xml:space="preserve"> - Balanço Patrimonial </w:t>
      </w:r>
      <w:r>
        <w:rPr>
          <w:rFonts w:ascii="Arial" w:hAnsi="Arial" w:cs="Arial"/>
          <w:i w:val="0"/>
          <w:iCs w:val="0"/>
          <w:color w:val="auto"/>
          <w:sz w:val="24"/>
          <w:szCs w:val="24"/>
        </w:rPr>
        <w:t xml:space="preserve">consolidado em 31/12/2023 </w:t>
      </w:r>
      <w:r w:rsidRPr="007E6FF5">
        <w:rPr>
          <w:rFonts w:ascii="Arial" w:hAnsi="Arial" w:cs="Arial"/>
          <w:i w:val="0"/>
          <w:iCs w:val="0"/>
          <w:color w:val="auto"/>
          <w:sz w:val="24"/>
          <w:szCs w:val="24"/>
        </w:rPr>
        <w:t>da OEC S.A.</w:t>
      </w:r>
    </w:p>
    <w:p w14:paraId="24C1ECDE" w14:textId="77777777" w:rsidR="000116F1" w:rsidRDefault="000116F1" w:rsidP="000116F1">
      <w:pPr>
        <w:pStyle w:val="ArtigoFasul"/>
      </w:pPr>
      <w:r>
        <w:rPr>
          <w:noProof/>
          <w:lang w:eastAsia="pt-BR"/>
        </w:rPr>
        <w:drawing>
          <wp:inline distT="0" distB="0" distL="0" distR="0" wp14:anchorId="4F3B6EA8" wp14:editId="36111573">
            <wp:extent cx="5760085" cy="2939415"/>
            <wp:effectExtent l="0" t="0" r="0" b="0"/>
            <wp:docPr id="1203308949"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08949" name="Imagem 1" descr="Tabela&#10;&#10;Descrição gerada automaticamente"/>
                    <pic:cNvPicPr/>
                  </pic:nvPicPr>
                  <pic:blipFill>
                    <a:blip r:embed="rId10"/>
                    <a:stretch>
                      <a:fillRect/>
                    </a:stretch>
                  </pic:blipFill>
                  <pic:spPr>
                    <a:xfrm>
                      <a:off x="0" y="0"/>
                      <a:ext cx="5760085" cy="2939415"/>
                    </a:xfrm>
                    <a:prstGeom prst="rect">
                      <a:avLst/>
                    </a:prstGeom>
                  </pic:spPr>
                </pic:pic>
              </a:graphicData>
            </a:graphic>
          </wp:inline>
        </w:drawing>
      </w:r>
    </w:p>
    <w:p w14:paraId="3EA8CA61" w14:textId="77777777" w:rsidR="000116F1" w:rsidRDefault="000116F1" w:rsidP="000116F1">
      <w:pPr>
        <w:pStyle w:val="ArtigoFasul"/>
      </w:pPr>
      <w:r>
        <w:t>Fonte: OEC, 2023, p. 7</w:t>
      </w:r>
    </w:p>
    <w:p w14:paraId="6C68BAE2" w14:textId="494B6E23" w:rsidR="000116F1" w:rsidRDefault="000116F1" w:rsidP="000116F1">
      <w:pPr>
        <w:pStyle w:val="ArtigoFasul"/>
        <w:ind w:firstLine="708"/>
      </w:pPr>
      <w:r>
        <w:t xml:space="preserve">Observa-se que as demonstrações contábeis contemplam uma conta de provisões tributárias, trabalhistas, cíveis e acordos, tanto no passivo circulante, quanto no passivo não circulante. </w:t>
      </w:r>
      <w:r w:rsidR="009C48FC">
        <w:t xml:space="preserve">Ademais, </w:t>
      </w:r>
      <w:r w:rsidR="00AD37E9">
        <w:t>o</w:t>
      </w:r>
      <w:r>
        <w:t xml:space="preserve"> balanço patrimonial indica a nota explicativa</w:t>
      </w:r>
      <w:r w:rsidR="00AD37E9">
        <w:t xml:space="preserve"> de número</w:t>
      </w:r>
      <w:r>
        <w:t xml:space="preserve"> 22</w:t>
      </w:r>
      <w:r w:rsidR="005A5D21">
        <w:t xml:space="preserve"> como detalhamento e esclarecimentos</w:t>
      </w:r>
      <w:r>
        <w:t xml:space="preserve"> </w:t>
      </w:r>
      <w:r w:rsidR="005A5D21">
        <w:t>para</w:t>
      </w:r>
      <w:r>
        <w:t xml:space="preserve"> essa conta de provisões.</w:t>
      </w:r>
    </w:p>
    <w:p w14:paraId="08D67388" w14:textId="4757F9AA" w:rsidR="000116F1" w:rsidRDefault="000116F1" w:rsidP="000116F1">
      <w:pPr>
        <w:pStyle w:val="ArtigoFasul"/>
        <w:ind w:firstLine="708"/>
      </w:pPr>
      <w:r>
        <w:t>A referida nota explicativa</w:t>
      </w:r>
      <w:r w:rsidR="00AD37E9">
        <w:t xml:space="preserve"> nº</w:t>
      </w:r>
      <w:r>
        <w:t xml:space="preserve"> 22 mostra que as provisões feitas “estão ligadas, principalmente, às discussões existentes nas esferas judiciais e administrativas” (OEC, 2023, p. 64). De acordo com OEC (2023), os casos que foram enquadrados como provisão e receberam esse tratamento contábil são:</w:t>
      </w:r>
    </w:p>
    <w:p w14:paraId="261ACC99" w14:textId="77777777" w:rsidR="000116F1" w:rsidRDefault="000116F1" w:rsidP="000116F1">
      <w:pPr>
        <w:pStyle w:val="ArtigoFasul"/>
        <w:numPr>
          <w:ilvl w:val="0"/>
          <w:numId w:val="2"/>
        </w:numPr>
      </w:pPr>
      <w:r>
        <w:lastRenderedPageBreak/>
        <w:t>acordos de leniência com Autoridades no Brasil e no Exterior; e</w:t>
      </w:r>
    </w:p>
    <w:p w14:paraId="6D27D927" w14:textId="77777777" w:rsidR="000116F1" w:rsidRDefault="000116F1" w:rsidP="000116F1">
      <w:pPr>
        <w:pStyle w:val="ArtigoFasul"/>
        <w:numPr>
          <w:ilvl w:val="0"/>
          <w:numId w:val="2"/>
        </w:numPr>
      </w:pPr>
      <w:r>
        <w:t>contingências tributárias, trabalhistas e cíveis.</w:t>
      </w:r>
    </w:p>
    <w:p w14:paraId="2CC2A9A0" w14:textId="4295F7C7" w:rsidR="000116F1" w:rsidRDefault="00A77860" w:rsidP="000116F1">
      <w:pPr>
        <w:pStyle w:val="ArtigoFasul"/>
        <w:ind w:firstLine="708"/>
      </w:pPr>
      <w:r>
        <w:t>V</w:t>
      </w:r>
      <w:r w:rsidR="000116F1">
        <w:t>erifica-se que a provisão foi calculada conforme a seguir:</w:t>
      </w:r>
    </w:p>
    <w:p w14:paraId="42F22DBA" w14:textId="239E5EC1" w:rsidR="000116F1" w:rsidRPr="00E95CB0" w:rsidRDefault="000116F1" w:rsidP="000116F1">
      <w:pPr>
        <w:pStyle w:val="Legenda"/>
        <w:keepNext/>
        <w:jc w:val="center"/>
        <w:rPr>
          <w:rFonts w:ascii="Arial" w:hAnsi="Arial" w:cs="Arial"/>
          <w:i w:val="0"/>
          <w:iCs w:val="0"/>
          <w:color w:val="auto"/>
          <w:sz w:val="24"/>
          <w:szCs w:val="24"/>
        </w:rPr>
      </w:pPr>
      <w:r w:rsidRPr="00E95CB0">
        <w:rPr>
          <w:rFonts w:ascii="Arial" w:hAnsi="Arial" w:cs="Arial"/>
          <w:b/>
          <w:bCs/>
          <w:i w:val="0"/>
          <w:iCs w:val="0"/>
          <w:color w:val="auto"/>
          <w:sz w:val="24"/>
          <w:szCs w:val="24"/>
        </w:rPr>
        <w:t xml:space="preserve">Figura </w:t>
      </w:r>
      <w:r w:rsidRPr="00E95CB0">
        <w:rPr>
          <w:rFonts w:ascii="Arial" w:hAnsi="Arial" w:cs="Arial"/>
          <w:b/>
          <w:bCs/>
          <w:i w:val="0"/>
          <w:iCs w:val="0"/>
          <w:color w:val="auto"/>
          <w:sz w:val="24"/>
          <w:szCs w:val="24"/>
        </w:rPr>
        <w:fldChar w:fldCharType="begin"/>
      </w:r>
      <w:r w:rsidRPr="00E95CB0">
        <w:rPr>
          <w:rFonts w:ascii="Arial" w:hAnsi="Arial" w:cs="Arial"/>
          <w:b/>
          <w:bCs/>
          <w:i w:val="0"/>
          <w:iCs w:val="0"/>
          <w:color w:val="auto"/>
          <w:sz w:val="24"/>
          <w:szCs w:val="24"/>
        </w:rPr>
        <w:instrText xml:space="preserve"> SEQ Figura \* ARABIC </w:instrText>
      </w:r>
      <w:r w:rsidRPr="00E95CB0">
        <w:rPr>
          <w:rFonts w:ascii="Arial" w:hAnsi="Arial" w:cs="Arial"/>
          <w:b/>
          <w:bCs/>
          <w:i w:val="0"/>
          <w:iCs w:val="0"/>
          <w:color w:val="auto"/>
          <w:sz w:val="24"/>
          <w:szCs w:val="24"/>
        </w:rPr>
        <w:fldChar w:fldCharType="separate"/>
      </w:r>
      <w:r w:rsidR="00671FB0">
        <w:rPr>
          <w:rFonts w:ascii="Arial" w:hAnsi="Arial" w:cs="Arial"/>
          <w:b/>
          <w:bCs/>
          <w:i w:val="0"/>
          <w:iCs w:val="0"/>
          <w:noProof/>
          <w:color w:val="auto"/>
          <w:sz w:val="24"/>
          <w:szCs w:val="24"/>
        </w:rPr>
        <w:t>2</w:t>
      </w:r>
      <w:r w:rsidRPr="00E95CB0">
        <w:rPr>
          <w:rFonts w:ascii="Arial" w:hAnsi="Arial" w:cs="Arial"/>
          <w:b/>
          <w:bCs/>
          <w:i w:val="0"/>
          <w:iCs w:val="0"/>
          <w:color w:val="auto"/>
          <w:sz w:val="24"/>
          <w:szCs w:val="24"/>
        </w:rPr>
        <w:fldChar w:fldCharType="end"/>
      </w:r>
      <w:r w:rsidRPr="00E95CB0">
        <w:rPr>
          <w:rFonts w:ascii="Arial" w:hAnsi="Arial" w:cs="Arial"/>
          <w:i w:val="0"/>
          <w:iCs w:val="0"/>
          <w:color w:val="auto"/>
          <w:sz w:val="24"/>
          <w:szCs w:val="24"/>
        </w:rPr>
        <w:t xml:space="preserve"> - Provisões incluídas no balanço patrimonial de 31/12/2023 da OEC S.A.</w:t>
      </w:r>
    </w:p>
    <w:p w14:paraId="5FD100CD" w14:textId="77777777" w:rsidR="000116F1" w:rsidRDefault="000116F1" w:rsidP="000116F1">
      <w:pPr>
        <w:pStyle w:val="ArtigoFasul"/>
        <w:jc w:val="left"/>
      </w:pPr>
      <w:r>
        <w:rPr>
          <w:noProof/>
          <w:lang w:eastAsia="pt-BR"/>
        </w:rPr>
        <w:drawing>
          <wp:inline distT="0" distB="0" distL="0" distR="0" wp14:anchorId="48709E44" wp14:editId="2374671A">
            <wp:extent cx="5760085" cy="905510"/>
            <wp:effectExtent l="0" t="0" r="0" b="8890"/>
            <wp:docPr id="196821107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11077" name="Imagem 1" descr="Tabela&#10;&#10;Descrição gerada automaticamente"/>
                    <pic:cNvPicPr/>
                  </pic:nvPicPr>
                  <pic:blipFill>
                    <a:blip r:embed="rId11"/>
                    <a:stretch>
                      <a:fillRect/>
                    </a:stretch>
                  </pic:blipFill>
                  <pic:spPr>
                    <a:xfrm>
                      <a:off x="0" y="0"/>
                      <a:ext cx="5760085" cy="905510"/>
                    </a:xfrm>
                    <a:prstGeom prst="rect">
                      <a:avLst/>
                    </a:prstGeom>
                  </pic:spPr>
                </pic:pic>
              </a:graphicData>
            </a:graphic>
          </wp:inline>
        </w:drawing>
      </w:r>
    </w:p>
    <w:p w14:paraId="70189635" w14:textId="77777777" w:rsidR="000116F1" w:rsidRDefault="000116F1" w:rsidP="000116F1">
      <w:pPr>
        <w:pStyle w:val="ArtigoFasul"/>
      </w:pPr>
      <w:r>
        <w:t>Fonte: OEC, 2023, p. 65</w:t>
      </w:r>
    </w:p>
    <w:p w14:paraId="7A475202" w14:textId="77777777" w:rsidR="000116F1" w:rsidRDefault="000116F1" w:rsidP="000116F1">
      <w:pPr>
        <w:pStyle w:val="ArtigoFasul"/>
        <w:jc w:val="left"/>
      </w:pPr>
    </w:p>
    <w:p w14:paraId="1D220027" w14:textId="033A7996" w:rsidR="000116F1" w:rsidRDefault="000116F1" w:rsidP="000116F1">
      <w:pPr>
        <w:pStyle w:val="ArtigoFasul"/>
        <w:ind w:firstLine="708"/>
      </w:pPr>
      <w:r>
        <w:t>Observa-se que o cálculo da provisão abarca o acordo de leniência firmado pela controladora do grupo econômico</w:t>
      </w:r>
      <w:r w:rsidR="004D4CAF">
        <w:t xml:space="preserve"> da OEC</w:t>
      </w:r>
      <w:r>
        <w:t xml:space="preserve"> </w:t>
      </w:r>
      <w:r w:rsidR="004D4CAF">
        <w:t>(</w:t>
      </w:r>
      <w:r>
        <w:t>Novonor</w:t>
      </w:r>
      <w:r w:rsidR="004D4CAF">
        <w:t>)</w:t>
      </w:r>
      <w:r>
        <w:t xml:space="preserve"> com o Ministério Público Federal (MPF) em 1º/12/2016</w:t>
      </w:r>
      <w:r w:rsidR="004D4CAF">
        <w:t xml:space="preserve"> e com outros órgãos de controle em momentos posteriores</w:t>
      </w:r>
      <w:r>
        <w:t>, conforme a seguir descrito nas demonstrações contábeis:</w:t>
      </w:r>
    </w:p>
    <w:p w14:paraId="3C6CA186" w14:textId="77777777" w:rsidR="000116F1" w:rsidRDefault="000116F1" w:rsidP="000116F1">
      <w:pPr>
        <w:pStyle w:val="CitaoFasul"/>
        <w:ind w:left="2268"/>
      </w:pPr>
      <w:r w:rsidRPr="000C4F5F">
        <w:t>Este acordo com o MPF foi firmado no âmbito do acordo global que envolveu autoridades competentes das jurisdições americana e suíça, no qual a Novonor, ou outra empresa de seu grupo econômico, comprometeu-se a pagar o valor global equivalente a R$ 3.828 milhões, em 23 anos, com parcelas anuais customizadas, reajustadas pela taxa SELIC simples.  Em 08 de agosto de 2019, o referido acordo</w:t>
      </w:r>
      <w:r>
        <w:t xml:space="preserve"> </w:t>
      </w:r>
      <w:r w:rsidRPr="000C4F5F">
        <w:t>foi</w:t>
      </w:r>
      <w:r>
        <w:t xml:space="preserve"> </w:t>
      </w:r>
      <w:r w:rsidRPr="000C4F5F">
        <w:t>aditado,</w:t>
      </w:r>
      <w:r>
        <w:t xml:space="preserve"> </w:t>
      </w:r>
      <w:r w:rsidRPr="000C4F5F">
        <w:t>alterando-se o cronograma de pagamento e passando a Companhia a ser garantidora subsidiaria de tais obrigações.</w:t>
      </w:r>
    </w:p>
    <w:p w14:paraId="2E7D64DA" w14:textId="77777777" w:rsidR="000116F1" w:rsidRDefault="000116F1" w:rsidP="000116F1">
      <w:pPr>
        <w:pStyle w:val="CitaoFasul"/>
        <w:ind w:left="2268"/>
      </w:pPr>
      <w:r>
        <w:t xml:space="preserve">Posteriormente, em 9 de julho de 2018, a Novonor, por si e pelas empresas que integram seu grupo econômico, firmaram Acordo de Leniência com o Ministério da Transparência e Controladoria-Geral da União e com a Advocacia-Geral da União, em que são ratificados os termos e valores acordados com o Ministério Público Federal, havendo um reperfilamento no cronograma de pagamentos das parcelas anuais, que permaneceram no prazo de 23 anos. </w:t>
      </w:r>
    </w:p>
    <w:p w14:paraId="1B92CA80" w14:textId="77777777" w:rsidR="000116F1" w:rsidRDefault="000116F1" w:rsidP="000116F1">
      <w:pPr>
        <w:pStyle w:val="CitaoFasul"/>
        <w:ind w:left="2268"/>
      </w:pPr>
      <w:r>
        <w:t xml:space="preserve">No dia 24 de janeiro de 2022, foi celebrado entre a Novonor, a CNO e o Estado do Rio de Janeiro um Acordo de Leniência, nos termos acima mencionados, no qual Novonor e CNO são coobrigadas ao pagamento no valor de aproximadamente R$ 330 milhões no prazo de 22 anos, que será substancialmente deduzido do acordo celebrado com o MPF e a diferença será paga no último ano. Com relação aos processos que envolvem o Estado do Rio de Janeiro (“ERJ”), ressalta-se que há no acordo de leniência firmado entre o ERJ e a Companhia (“Acordo RJ”), a obrigação de o ERJ peticionar nos mencionados processos informando que já houve a indenização do ente lesado pelos fatos relatados pela Companhia no Acordo RJ. </w:t>
      </w:r>
    </w:p>
    <w:p w14:paraId="696F5907" w14:textId="77777777" w:rsidR="000116F1" w:rsidRDefault="000116F1" w:rsidP="000116F1">
      <w:pPr>
        <w:pStyle w:val="CitaoFasul"/>
        <w:ind w:left="2268"/>
      </w:pPr>
      <w:r>
        <w:t xml:space="preserve">No dia 09 de novembro de 2022, a Companhia e a Novonor celebraram Acordo de Leniência com a Advocacia Geral do Estado de Minas Gerais (“AGE/MG”) e a Controladoria Geral do Estado de Minas Gerais (“CGE/MG”), com a interveniência do Ministério Público do Estado de Minas Gerais (“MPE/MG”). </w:t>
      </w:r>
    </w:p>
    <w:p w14:paraId="6FB75B26" w14:textId="77777777" w:rsidR="000116F1" w:rsidRDefault="000116F1" w:rsidP="000116F1">
      <w:pPr>
        <w:pStyle w:val="CitaoFasul"/>
        <w:ind w:left="2268"/>
      </w:pPr>
      <w:r>
        <w:lastRenderedPageBreak/>
        <w:t xml:space="preserve">Além do Acordo de Leniência, foi celebrado um Acordo de Não Persecução Cível entre o MPE/MG e as empresas da Companhia e Novonor, com a interveniência da CGE/MG e AGE/MG. Por força destes acordos, a Companhia se obrigou ao pagamento de R$ 202 milhões – valor este que será parcialmente deduzido dos R$ 3.828 milhões estabelecidos no acordo celebrado com o MPF - no prazo de 21 (vinte e um) anos, tendo a Novonor figurado como garantidora do pagamento.  </w:t>
      </w:r>
    </w:p>
    <w:p w14:paraId="6830B970" w14:textId="77777777" w:rsidR="000116F1" w:rsidRDefault="000116F1" w:rsidP="000116F1">
      <w:pPr>
        <w:pStyle w:val="CitaoFasul"/>
        <w:ind w:left="2268"/>
      </w:pPr>
      <w:r>
        <w:t xml:space="preserve">Na  data  de  19  de  julho  de  2023,  foi  assinado  o  1º  Aditivo  à Adesão  ao  Acordo  de  Leniência  entre  o Ministério Público do Distrito Federal e Territórios (“MPDFT”) e a Novonor, pelo qual o MPDFT ratificou a sua adesão aos termos do acordo, contemplando todas as suas proteções, pelo qual a Novonor reconhece como devida a quantia de R$ 22.591, referente ao ressarcimento por danos imateriais causados ao erário e à sociedade do Distrito Federal, pelas condutas ilícitas declaradas perante o Acordo de Leniência. Esse valor será parcialmente deduzido dos R$ 3.828 milhões estabelecidos no acordo celebrado com o MPF – restando o saldo a ser adimplido no prazo de 26 (vinte e seis) anos. </w:t>
      </w:r>
    </w:p>
    <w:p w14:paraId="3046E89D" w14:textId="77777777" w:rsidR="000116F1" w:rsidRDefault="000116F1" w:rsidP="000116F1">
      <w:pPr>
        <w:pStyle w:val="CitaoFasul"/>
        <w:ind w:left="2268"/>
      </w:pPr>
      <w:r>
        <w:t xml:space="preserve">Além disso, a controlada direta da Companhia, CNO, já assinou diversos acordos de leniência e termos de cessação de conduta com a Superintendência Geral do Conselho Administrativo de Defesa Econômica (“CADE”).  </w:t>
      </w:r>
    </w:p>
    <w:p w14:paraId="2B568A3B" w14:textId="77777777" w:rsidR="000116F1" w:rsidRDefault="000116F1" w:rsidP="000116F1">
      <w:pPr>
        <w:pStyle w:val="CitaoFasul"/>
        <w:ind w:left="2268"/>
      </w:pPr>
      <w:r>
        <w:t xml:space="preserve">No que se refere ao pagamento das parcelas referentes a estes acordos, deve-se destacar que aquelas cujo adimplemento deveria se dar até 31 de janeiro de 2024 (data-base 2023) tiveram o seu vencimento postergado pelo CADE até 31 de julho de 2024, sendo certo que todas as parcelas anteriores foram pagas de forma integral e tempestiva. </w:t>
      </w:r>
    </w:p>
    <w:p w14:paraId="3201BFF1" w14:textId="77777777" w:rsidR="000116F1" w:rsidRDefault="000116F1" w:rsidP="000116F1">
      <w:pPr>
        <w:pStyle w:val="CitaoFasul"/>
        <w:ind w:left="2268"/>
      </w:pPr>
      <w:r>
        <w:t xml:space="preserve">Ademais, em outros procedimentos em trâmite perante essa autarquia, a CNO e o CADE não lograram êxito em alcançar os termos adequados para a celebração de acordos, nos quais a Companhia atualmente exerce seu direito de defesa e terá a oportunidade de levar ao poder judiciário as questões com as quais não esteja de acordo. </w:t>
      </w:r>
    </w:p>
    <w:p w14:paraId="082D5779" w14:textId="77777777" w:rsidR="000116F1" w:rsidRDefault="000116F1" w:rsidP="000116F1">
      <w:pPr>
        <w:pStyle w:val="CitaoFasul"/>
        <w:ind w:left="2268"/>
      </w:pPr>
      <w:r>
        <w:t>Por fim, cumpre informar que como todos os procedimentos existentes no CADE ainda estão em fases incipientes, neste momento não é possível auferir a saída de recursos futuros relacionada ao tema de modo que possam ser retratados em demonstração financeira.</w:t>
      </w:r>
    </w:p>
    <w:p w14:paraId="4E81650B" w14:textId="77777777" w:rsidR="000116F1" w:rsidRPr="000C4F5F" w:rsidRDefault="000116F1" w:rsidP="000116F1">
      <w:pPr>
        <w:pStyle w:val="CitaoFasul"/>
        <w:ind w:left="2268"/>
      </w:pPr>
      <w:r>
        <w:t>(OEC, 2023, p. 65-66)</w:t>
      </w:r>
    </w:p>
    <w:p w14:paraId="550E37A7" w14:textId="6F6BB218" w:rsidR="000116F1" w:rsidRDefault="00137FFD" w:rsidP="000116F1">
      <w:pPr>
        <w:pStyle w:val="ArtigoFasul"/>
        <w:ind w:firstLine="708"/>
      </w:pPr>
      <w:r>
        <w:t>Além disso</w:t>
      </w:r>
      <w:r w:rsidR="000116F1">
        <w:t>, a nota explicativa 22 indica</w:t>
      </w:r>
      <w:r>
        <w:t xml:space="preserve"> que a provisão feita leva em conta</w:t>
      </w:r>
      <w:r w:rsidR="000116F1">
        <w:t xml:space="preserve"> algumas cobranças tributárias feitas pela Receita Federal do Brasil referente a cobrança de </w:t>
      </w:r>
      <w:r w:rsidR="00A01CEA">
        <w:t>I</w:t>
      </w:r>
      <w:r w:rsidR="000116F1">
        <w:t xml:space="preserve">mposto de </w:t>
      </w:r>
      <w:r w:rsidR="00A01CEA">
        <w:t>R</w:t>
      </w:r>
      <w:r w:rsidR="000116F1">
        <w:t>end</w:t>
      </w:r>
      <w:r w:rsidR="00A01CEA">
        <w:t>a</w:t>
      </w:r>
      <w:r w:rsidR="000116F1">
        <w:t xml:space="preserve"> e contribuição social sobre o lucro líquido, tendo sido lavrados autos de infração para cobrança desses tributos.</w:t>
      </w:r>
    </w:p>
    <w:p w14:paraId="1D79E7A6" w14:textId="30000F09" w:rsidR="000116F1" w:rsidRDefault="000116F1" w:rsidP="000116F1">
      <w:pPr>
        <w:pStyle w:val="ArtigoFasul"/>
        <w:ind w:firstLine="708"/>
      </w:pPr>
      <w:r>
        <w:t>Portanto, observa-se que os acordos de leniência firmados pela empresa com os mais diversos órgãos de controle (MPF, CGU/AGU, Estado do Rio de Janeiro, CGE</w:t>
      </w:r>
      <w:r w:rsidR="001C2D5F">
        <w:t>-</w:t>
      </w:r>
      <w:r>
        <w:t>MG/AGE</w:t>
      </w:r>
      <w:r w:rsidR="001C2D5F">
        <w:t>-</w:t>
      </w:r>
      <w:r>
        <w:t xml:space="preserve">MG, e MPDFT) foram classificados contabilmente como obrigações </w:t>
      </w:r>
      <w:r>
        <w:lastRenderedPageBreak/>
        <w:t>prováveis, em que a saída de caixa é vista como provável pela empresa, haja vista terem recebido o tratamento contábil de provisão.</w:t>
      </w:r>
    </w:p>
    <w:p w14:paraId="68B886F2" w14:textId="70187076" w:rsidR="000116F1" w:rsidRDefault="000116F1" w:rsidP="000116F1">
      <w:pPr>
        <w:pStyle w:val="ArtigoFasul"/>
        <w:ind w:firstLine="708"/>
      </w:pPr>
      <w:r>
        <w:t xml:space="preserve">Já em relação aos passivos contingentes, isto é, as obrigações que foram classificadas como possíveis, nos termos do CPC 25 (CPC, 2009 </w:t>
      </w:r>
      <w:r w:rsidRPr="007D252F">
        <w:t>apud</w:t>
      </w:r>
      <w:r>
        <w:t xml:space="preserve"> PORCIÚNCULA JR., 2020), ou seja, aquelas em que</w:t>
      </w:r>
      <w:r w:rsidR="00EA640A">
        <w:t>, conforme Porciúncula Jr. (2020),</w:t>
      </w:r>
      <w:r>
        <w:t xml:space="preserve"> é mais provável que não ocorra uma saída de recursos para seu adimplemento, verificou-se que os dados são os seguintes:</w:t>
      </w:r>
    </w:p>
    <w:p w14:paraId="0A1DE23C" w14:textId="04ADC5EA" w:rsidR="000116F1" w:rsidRPr="00412E8A" w:rsidRDefault="000116F1" w:rsidP="000116F1">
      <w:pPr>
        <w:pStyle w:val="Legenda"/>
        <w:keepNext/>
        <w:jc w:val="center"/>
        <w:rPr>
          <w:rFonts w:ascii="Arial" w:hAnsi="Arial" w:cs="Arial"/>
          <w:i w:val="0"/>
          <w:iCs w:val="0"/>
          <w:color w:val="auto"/>
          <w:sz w:val="24"/>
          <w:szCs w:val="24"/>
        </w:rPr>
      </w:pPr>
      <w:r w:rsidRPr="00412E8A">
        <w:rPr>
          <w:rFonts w:ascii="Arial" w:hAnsi="Arial" w:cs="Arial"/>
          <w:b/>
          <w:bCs/>
          <w:i w:val="0"/>
          <w:iCs w:val="0"/>
          <w:color w:val="auto"/>
          <w:sz w:val="24"/>
          <w:szCs w:val="24"/>
        </w:rPr>
        <w:t xml:space="preserve">Figura </w:t>
      </w:r>
      <w:r w:rsidRPr="00412E8A">
        <w:rPr>
          <w:rFonts w:ascii="Arial" w:hAnsi="Arial" w:cs="Arial"/>
          <w:b/>
          <w:bCs/>
          <w:i w:val="0"/>
          <w:iCs w:val="0"/>
          <w:color w:val="auto"/>
          <w:sz w:val="24"/>
          <w:szCs w:val="24"/>
        </w:rPr>
        <w:fldChar w:fldCharType="begin"/>
      </w:r>
      <w:r w:rsidRPr="00412E8A">
        <w:rPr>
          <w:rFonts w:ascii="Arial" w:hAnsi="Arial" w:cs="Arial"/>
          <w:b/>
          <w:bCs/>
          <w:i w:val="0"/>
          <w:iCs w:val="0"/>
          <w:color w:val="auto"/>
          <w:sz w:val="24"/>
          <w:szCs w:val="24"/>
        </w:rPr>
        <w:instrText xml:space="preserve"> SEQ Figura \* ARABIC </w:instrText>
      </w:r>
      <w:r w:rsidRPr="00412E8A">
        <w:rPr>
          <w:rFonts w:ascii="Arial" w:hAnsi="Arial" w:cs="Arial"/>
          <w:b/>
          <w:bCs/>
          <w:i w:val="0"/>
          <w:iCs w:val="0"/>
          <w:color w:val="auto"/>
          <w:sz w:val="24"/>
          <w:szCs w:val="24"/>
        </w:rPr>
        <w:fldChar w:fldCharType="separate"/>
      </w:r>
      <w:r w:rsidR="00671FB0">
        <w:rPr>
          <w:rFonts w:ascii="Arial" w:hAnsi="Arial" w:cs="Arial"/>
          <w:b/>
          <w:bCs/>
          <w:i w:val="0"/>
          <w:iCs w:val="0"/>
          <w:noProof/>
          <w:color w:val="auto"/>
          <w:sz w:val="24"/>
          <w:szCs w:val="24"/>
        </w:rPr>
        <w:t>3</w:t>
      </w:r>
      <w:r w:rsidRPr="00412E8A">
        <w:rPr>
          <w:rFonts w:ascii="Arial" w:hAnsi="Arial" w:cs="Arial"/>
          <w:b/>
          <w:bCs/>
          <w:i w:val="0"/>
          <w:iCs w:val="0"/>
          <w:color w:val="auto"/>
          <w:sz w:val="24"/>
          <w:szCs w:val="24"/>
        </w:rPr>
        <w:fldChar w:fldCharType="end"/>
      </w:r>
      <w:r w:rsidRPr="00412E8A">
        <w:rPr>
          <w:rFonts w:ascii="Arial" w:hAnsi="Arial" w:cs="Arial"/>
          <w:i w:val="0"/>
          <w:iCs w:val="0"/>
          <w:color w:val="auto"/>
          <w:sz w:val="24"/>
          <w:szCs w:val="24"/>
        </w:rPr>
        <w:t xml:space="preserve"> - Passivo contingente incluído nas demonstrações contábeis da OEC S/A de 31/12/2023</w:t>
      </w:r>
    </w:p>
    <w:p w14:paraId="377CD5FD" w14:textId="77777777" w:rsidR="000116F1" w:rsidRDefault="000116F1" w:rsidP="000116F1">
      <w:pPr>
        <w:pStyle w:val="ArtigoFasul"/>
      </w:pPr>
      <w:r>
        <w:rPr>
          <w:noProof/>
          <w:lang w:eastAsia="pt-BR"/>
        </w:rPr>
        <w:drawing>
          <wp:inline distT="0" distB="0" distL="0" distR="0" wp14:anchorId="43A42677" wp14:editId="0B646ACA">
            <wp:extent cx="5334274" cy="1041454"/>
            <wp:effectExtent l="0" t="0" r="0" b="6350"/>
            <wp:docPr id="1835442083"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42083" name="Imagem 1" descr="Interface gráfica do usuário&#10;&#10;Descrição gerada automaticamente com confiança baixa"/>
                    <pic:cNvPicPr/>
                  </pic:nvPicPr>
                  <pic:blipFill>
                    <a:blip r:embed="rId12"/>
                    <a:stretch>
                      <a:fillRect/>
                    </a:stretch>
                  </pic:blipFill>
                  <pic:spPr>
                    <a:xfrm>
                      <a:off x="0" y="0"/>
                      <a:ext cx="5334274" cy="1041454"/>
                    </a:xfrm>
                    <a:prstGeom prst="rect">
                      <a:avLst/>
                    </a:prstGeom>
                  </pic:spPr>
                </pic:pic>
              </a:graphicData>
            </a:graphic>
          </wp:inline>
        </w:drawing>
      </w:r>
    </w:p>
    <w:p w14:paraId="4B2A1B9C" w14:textId="77777777" w:rsidR="000116F1" w:rsidRDefault="000116F1" w:rsidP="000116F1">
      <w:pPr>
        <w:pStyle w:val="ArtigoFasul"/>
      </w:pPr>
      <w:r>
        <w:t>Fonte: OEC, 2023, p. 67</w:t>
      </w:r>
    </w:p>
    <w:p w14:paraId="2971FB34" w14:textId="7BB92843" w:rsidR="000116F1" w:rsidRDefault="00D94B48" w:rsidP="000116F1">
      <w:pPr>
        <w:pStyle w:val="ArtigoFasul"/>
        <w:ind w:firstLine="708"/>
      </w:pPr>
      <w:r>
        <w:t>Conforme a nota explicativa 22, o</w:t>
      </w:r>
      <w:r w:rsidR="000116F1">
        <w:t xml:space="preserve"> passivo contingente</w:t>
      </w:r>
      <w:r>
        <w:t xml:space="preserve"> da OEC</w:t>
      </w:r>
      <w:r w:rsidR="000116F1">
        <w:t xml:space="preserve">, na esfera cível, abarca dados acerca de processos que visam a anulação de atos/contratos e o ressarcimento de danos causados à Administração Pública e/ou a aplicação de sanções aplicadas por órgãos de controle, tendo sido dado destaque </w:t>
      </w:r>
      <w:r w:rsidR="00387D11">
        <w:t>à</w:t>
      </w:r>
      <w:r w:rsidR="000116F1">
        <w:t>s seguintes lides:</w:t>
      </w:r>
    </w:p>
    <w:p w14:paraId="14BEB0F7" w14:textId="77777777" w:rsidR="000116F1" w:rsidRDefault="000116F1" w:rsidP="000116F1">
      <w:pPr>
        <w:pStyle w:val="CitaoFasul"/>
        <w:ind w:left="2268"/>
      </w:pPr>
      <w:r>
        <w:t xml:space="preserve">• Ação de Improbidade Administrativa promovida pelo Ministério Público de São Paulo, contra a OECI e outras empresas, relacionada aos contratos de execução da Linha 5 do Metrô. O valor atualizado da </w:t>
      </w:r>
    </w:p>
    <w:p w14:paraId="7297BA9C" w14:textId="77777777" w:rsidR="000116F1" w:rsidRDefault="000116F1" w:rsidP="000116F1">
      <w:pPr>
        <w:pStyle w:val="CitaoFasul"/>
        <w:ind w:left="2268"/>
      </w:pPr>
      <w:r>
        <w:t xml:space="preserve">ação é de R$ 4.347.500, sendo que a quota parte relativa à OECI corresponde ao montante aproximado de R$ 869 milhões (31 de dezembro de 2022 – R$ 751 milhões). Não obstante a decisão desfavorável proferida pelo Tribunal de Justiça de São Paulo, a Companhia e os seus assessores acreditam ter sólidos fundamentos para reverter a condenação imposta à OECI, sendo tal entendimento confirmado pela decisão do STJ, que concedeu efeito suspensivo aos recursos especiais apresentados pelas partes; </w:t>
      </w:r>
    </w:p>
    <w:p w14:paraId="41DEEC6E" w14:textId="77777777" w:rsidR="000116F1" w:rsidRDefault="000116F1" w:rsidP="000116F1">
      <w:pPr>
        <w:pStyle w:val="CitaoFasul"/>
        <w:ind w:left="2268"/>
      </w:pPr>
      <w:r>
        <w:t xml:space="preserve">• Ação de Improbidade Administrativa promovida pelo Ministério Público de São Paulo, contra a CBPO, CNO e outros, relacionada à execução de serviços de limpeza urbana. Apesar do trânsito em julgado da condenação, o impacto para a CBPO e CNO ainda não é possível precisar, em função da necessidade de liquidação da sentença a partir de parâmetros determinados na condenação que comportam múltiplos cenários de interpretação e que ensejaram, inclusive, a propositura de ação rescisória pela CBPO e CNO; </w:t>
      </w:r>
    </w:p>
    <w:p w14:paraId="2021183F" w14:textId="77777777" w:rsidR="000116F1" w:rsidRDefault="000116F1" w:rsidP="000116F1">
      <w:pPr>
        <w:pStyle w:val="CitaoFasul"/>
        <w:ind w:left="2268"/>
      </w:pPr>
      <w:r>
        <w:t xml:space="preserve">• Ações pelo Ministério Público do Rio de Janeiro, contra a CNO, relacionadas ao contrato de execução das obras da Linha 4 do </w:t>
      </w:r>
      <w:r>
        <w:lastRenderedPageBreak/>
        <w:t xml:space="preserve">Metrô, cujo impacto para a Companhia ainda não é possível precisar, pelo estágio processual incipiente em que se encontram. </w:t>
      </w:r>
    </w:p>
    <w:p w14:paraId="30ABEC06" w14:textId="77777777" w:rsidR="000116F1" w:rsidRDefault="000116F1" w:rsidP="000116F1">
      <w:pPr>
        <w:pStyle w:val="CitaoFasul"/>
        <w:ind w:left="2268"/>
      </w:pPr>
      <w:r>
        <w:t xml:space="preserve">• Execuções fiscais propostas pelo Estado do Rio de Janeiro decorrentes de </w:t>
      </w:r>
      <w:r w:rsidRPr="00203CFC">
        <w:rPr>
          <w:b/>
          <w:bCs/>
        </w:rPr>
        <w:t>condenação administrativa solidária imposta pelo Tribunal de Contas do Estado do Rio de Janeiro</w:t>
      </w:r>
      <w:r>
        <w:t xml:space="preserve"> relacionada à existência de um suposto superfaturamento nas obras da linha 4 do metrô/RJ.  Até o momento, o Consórcio Construtor Rio Barra e Consórcio Construtor Linha 4 Sul são partes em execuções que totalizam R$ 62.171 (31 de dezembro de 2022 – R$ 52.932), sendo que a CNO participa com o percentual de 33% nesses consórcios. As execuções estão sendo devidamente contestadas.</w:t>
      </w:r>
    </w:p>
    <w:p w14:paraId="4E8A726D" w14:textId="77777777" w:rsidR="000116F1" w:rsidRDefault="000116F1" w:rsidP="000116F1">
      <w:pPr>
        <w:pStyle w:val="CitaoFasul"/>
        <w:ind w:left="2268"/>
      </w:pPr>
      <w:r>
        <w:t>(OEC, 2023, p. 69, grifos acrescidos)</w:t>
      </w:r>
    </w:p>
    <w:p w14:paraId="3054AE0B" w14:textId="77777777" w:rsidR="000116F1" w:rsidRDefault="000116F1" w:rsidP="000116F1">
      <w:pPr>
        <w:pStyle w:val="ArtigoFasul"/>
        <w:ind w:firstLine="708"/>
      </w:pPr>
    </w:p>
    <w:p w14:paraId="3BA5ABCC" w14:textId="4DCD6FD0" w:rsidR="000116F1" w:rsidRDefault="0045188C" w:rsidP="000116F1">
      <w:pPr>
        <w:pStyle w:val="ArtigoFasul"/>
        <w:ind w:firstLine="708"/>
      </w:pPr>
      <w:r>
        <w:t>Portanto, v</w:t>
      </w:r>
      <w:r w:rsidR="000116F1">
        <w:t>erifica-se que nenhuma condenação proferida pelo TCU é explicitada nas provisões ou no passivo contingente das demonstrações contábeis da OEC. D</w:t>
      </w:r>
      <w:r>
        <w:t>as</w:t>
      </w:r>
      <w:r w:rsidR="000116F1">
        <w:t xml:space="preserve"> obrigações impostas por órgãos de controle externo, a única que é destacada como passivo contingente é uma condenação do Tribunal de Contas do Estado do Rio de Janeiro (TCE/RJ) referente a contrato de construção da linha 4 do Metrô do Rio de Janeiro.</w:t>
      </w:r>
    </w:p>
    <w:p w14:paraId="5DBC75BE" w14:textId="77777777" w:rsidR="000116F1" w:rsidRDefault="000116F1" w:rsidP="000116F1">
      <w:pPr>
        <w:pStyle w:val="ArtigoFasul"/>
        <w:ind w:firstLine="708"/>
      </w:pPr>
      <w:r>
        <w:t>Em outras palavras, a ação de cobrança já ajuizada pelo Estado do Rio de Janeiro com base em condenação imposta pelo TCE/RJ é percebida pela OEC como sendo uma obrigação em que “é mais provável que não ocorra uma saída de recursos” (CPC, 2009 apud PORCIÚNCULA JR., 2020) para sua liquidação.</w:t>
      </w:r>
    </w:p>
    <w:p w14:paraId="2919A2C0" w14:textId="25AD56BA" w:rsidR="00736E4B" w:rsidRPr="00E92869" w:rsidRDefault="00DF33A6" w:rsidP="00736E4B">
      <w:pPr>
        <w:pStyle w:val="ArtigoFasul"/>
        <w:ind w:firstLine="708"/>
      </w:pPr>
      <w:r>
        <w:t xml:space="preserve">O parecer do auditor independente sobre as demonstrações contábeis da OEC </w:t>
      </w:r>
      <w:r w:rsidR="0075574E">
        <w:t>foi sem ressalvas</w:t>
      </w:r>
      <w:r w:rsidR="009B6A5A">
        <w:t>, tendo sido apenas feita ênfase sobre “incerteza relevante relacionada com a continuidade operacional” da OEC, uma vez que a empresa apresentou “</w:t>
      </w:r>
      <w:r w:rsidR="00C73E5A">
        <w:t>passivo circulante consolidado superior ao ativo circulante consolidado, em R$ 4.611.320, patrimônio líquido consolidado negativo em R$ 16.609.043 e prejuízo consolidado em R$ 741.449.” (OEC, 2023, p. 3).</w:t>
      </w:r>
    </w:p>
    <w:p w14:paraId="34FA41C9" w14:textId="473B094E" w:rsidR="007B570A" w:rsidRPr="001F1AEB" w:rsidRDefault="007B570A" w:rsidP="007B570A">
      <w:pPr>
        <w:pStyle w:val="Ttulo2"/>
        <w:numPr>
          <w:ilvl w:val="1"/>
          <w:numId w:val="1"/>
        </w:numPr>
        <w:ind w:left="709" w:hanging="709"/>
        <w:rPr>
          <w:rFonts w:ascii="Arial" w:hAnsi="Arial" w:cs="Arial"/>
          <w:b/>
          <w:bCs/>
          <w:color w:val="auto"/>
          <w:sz w:val="24"/>
          <w:szCs w:val="24"/>
        </w:rPr>
      </w:pPr>
      <w:r>
        <w:rPr>
          <w:rFonts w:ascii="Arial" w:hAnsi="Arial" w:cs="Arial"/>
          <w:b/>
          <w:bCs/>
          <w:color w:val="auto"/>
          <w:sz w:val="24"/>
          <w:szCs w:val="24"/>
        </w:rPr>
        <w:t xml:space="preserve">Demonstrações contábeis da </w:t>
      </w:r>
      <w:r w:rsidR="00EB5D57">
        <w:rPr>
          <w:rFonts w:ascii="Arial" w:hAnsi="Arial" w:cs="Arial"/>
          <w:b/>
          <w:bCs/>
          <w:color w:val="auto"/>
          <w:sz w:val="24"/>
          <w:szCs w:val="24"/>
        </w:rPr>
        <w:t>Construtora Coesa S/A – Em Recuperação Judicial</w:t>
      </w:r>
      <w:r w:rsidR="00612B5F">
        <w:rPr>
          <w:rFonts w:ascii="Arial" w:hAnsi="Arial" w:cs="Arial"/>
          <w:b/>
          <w:bCs/>
          <w:color w:val="auto"/>
          <w:sz w:val="24"/>
          <w:szCs w:val="24"/>
        </w:rPr>
        <w:t xml:space="preserve"> (atual denominação da Construtora OAS S/A – Em Recuperação Judicial)</w:t>
      </w:r>
    </w:p>
    <w:p w14:paraId="3E28DF0E" w14:textId="5716F4F9" w:rsidR="003D4635" w:rsidRPr="00886BF6" w:rsidRDefault="003D4635" w:rsidP="00DA7B57">
      <w:pPr>
        <w:pStyle w:val="ArtigoFasul"/>
        <w:ind w:firstLine="708"/>
      </w:pPr>
      <w:r>
        <w:t>Em consulta ao sítio eletrônico oficial da Construtora Coesa S/A – Em Recuperação Judicial</w:t>
      </w:r>
      <w:r w:rsidR="00FC62C5">
        <w:rPr>
          <w:rStyle w:val="Refdenotaderodap"/>
        </w:rPr>
        <w:footnoteReference w:id="6"/>
      </w:r>
      <w:r>
        <w:t>, não foi possível encontrar a íntegra de suas demonstrações contábeis consolidadas.</w:t>
      </w:r>
      <w:r w:rsidR="00886BF6">
        <w:t xml:space="preserve"> De igual modo, consulta ao sítio eletrônico oficial da </w:t>
      </w:r>
      <w:r w:rsidR="00886BF6">
        <w:rPr>
          <w:i/>
          <w:iCs/>
        </w:rPr>
        <w:t>holding</w:t>
      </w:r>
      <w:r w:rsidR="00886BF6">
        <w:t xml:space="preserve"> </w:t>
      </w:r>
      <w:r w:rsidR="00886BF6">
        <w:lastRenderedPageBreak/>
        <w:t xml:space="preserve">controladora do grupo econômico ao qual pertence a Construtora Coesa S/A – Em Recuperação Judicial, a saber, </w:t>
      </w:r>
      <w:r w:rsidR="004877FA">
        <w:t>o grupo Metha S/A, também se revelou infrutífera</w:t>
      </w:r>
      <w:r w:rsidR="004877FA">
        <w:rPr>
          <w:rStyle w:val="Refdenotaderodap"/>
        </w:rPr>
        <w:footnoteReference w:id="7"/>
      </w:r>
      <w:r w:rsidR="004877FA">
        <w:t>.</w:t>
      </w:r>
    </w:p>
    <w:p w14:paraId="7BCDB4F1" w14:textId="05051238" w:rsidR="00943B3E" w:rsidRPr="00943B3E" w:rsidRDefault="00943B3E" w:rsidP="00DA7B57">
      <w:pPr>
        <w:pStyle w:val="ArtigoFasul"/>
        <w:ind w:firstLine="708"/>
      </w:pPr>
      <w:r>
        <w:t xml:space="preserve">Em pesquisa feita mediante mecanismos de busca tradicionais da </w:t>
      </w:r>
      <w:r w:rsidRPr="00943B3E">
        <w:rPr>
          <w:i/>
          <w:iCs/>
        </w:rPr>
        <w:t>internet</w:t>
      </w:r>
      <w:r>
        <w:t xml:space="preserve">, detectou-se </w:t>
      </w:r>
      <w:r w:rsidR="008F7CA8">
        <w:t xml:space="preserve">a publicação de </w:t>
      </w:r>
      <w:r w:rsidR="00883A35">
        <w:t>demonstrações contábeis</w:t>
      </w:r>
      <w:r w:rsidR="00863175">
        <w:t xml:space="preserve"> para o exercício findo em 31/12/2022</w:t>
      </w:r>
      <w:r w:rsidR="00883A35">
        <w:t xml:space="preserve"> da empresa COESA Construção e Montagens S.A. – Em Recuperação Judicial no jornal Estadão de 27/4/2023</w:t>
      </w:r>
      <w:r w:rsidR="0010291A">
        <w:rPr>
          <w:rStyle w:val="Refdenotaderodap"/>
        </w:rPr>
        <w:footnoteReference w:id="8"/>
      </w:r>
      <w:r w:rsidR="00123D31">
        <w:t xml:space="preserve">. Porém, </w:t>
      </w:r>
      <w:r w:rsidR="003E2A60">
        <w:t xml:space="preserve">a partir </w:t>
      </w:r>
      <w:r w:rsidR="00123D31">
        <w:t xml:space="preserve">da leitura dessas demonstrações contábeis, verificou-se que a Construtora Coesa S/A é sua controladora. Portanto, as informações financeiras e contábeis </w:t>
      </w:r>
      <w:r w:rsidR="003E2A60">
        <w:t>relativas à</w:t>
      </w:r>
      <w:r w:rsidR="00123D31">
        <w:t xml:space="preserve"> empresa da amostra </w:t>
      </w:r>
      <w:r w:rsidR="00863175">
        <w:t>não estão consolidadas na referida publicação.</w:t>
      </w:r>
    </w:p>
    <w:p w14:paraId="2CBC161D" w14:textId="29B87354" w:rsidR="003D4635" w:rsidRDefault="004117EB" w:rsidP="00DA7B57">
      <w:pPr>
        <w:pStyle w:val="ArtigoFasul"/>
        <w:ind w:firstLine="708"/>
      </w:pPr>
      <w:r>
        <w:t>Portanto, a busca pelas demonstrações contábeis da referida empresa não foi bem-sucedida, razão pela qual tornou-se impossível fazer a análise pretendida.</w:t>
      </w:r>
    </w:p>
    <w:p w14:paraId="3D88F454" w14:textId="77777777" w:rsidR="007B570A" w:rsidRDefault="007B570A" w:rsidP="00DA7B57">
      <w:pPr>
        <w:pStyle w:val="ArtigoFasul"/>
        <w:ind w:firstLine="708"/>
      </w:pPr>
    </w:p>
    <w:p w14:paraId="259CA38E" w14:textId="75DF9368" w:rsidR="007B570A" w:rsidRPr="001F1AEB" w:rsidRDefault="007B570A" w:rsidP="007B570A">
      <w:pPr>
        <w:pStyle w:val="Ttulo2"/>
        <w:numPr>
          <w:ilvl w:val="1"/>
          <w:numId w:val="1"/>
        </w:numPr>
        <w:ind w:left="709" w:hanging="709"/>
        <w:rPr>
          <w:rFonts w:ascii="Arial" w:hAnsi="Arial" w:cs="Arial"/>
          <w:b/>
          <w:bCs/>
          <w:color w:val="auto"/>
          <w:sz w:val="24"/>
          <w:szCs w:val="24"/>
        </w:rPr>
      </w:pPr>
      <w:r>
        <w:rPr>
          <w:rFonts w:ascii="Arial" w:hAnsi="Arial" w:cs="Arial"/>
          <w:b/>
          <w:bCs/>
          <w:color w:val="auto"/>
          <w:sz w:val="24"/>
          <w:szCs w:val="24"/>
        </w:rPr>
        <w:t>Demonstrações contábeis d</w:t>
      </w:r>
      <w:r w:rsidR="00E65FEC">
        <w:rPr>
          <w:rFonts w:ascii="Arial" w:hAnsi="Arial" w:cs="Arial"/>
          <w:b/>
          <w:bCs/>
          <w:color w:val="auto"/>
          <w:sz w:val="24"/>
          <w:szCs w:val="24"/>
        </w:rPr>
        <w:t>e</w:t>
      </w:r>
      <w:r>
        <w:rPr>
          <w:rFonts w:ascii="Arial" w:hAnsi="Arial" w:cs="Arial"/>
          <w:b/>
          <w:bCs/>
          <w:color w:val="auto"/>
          <w:sz w:val="24"/>
          <w:szCs w:val="24"/>
        </w:rPr>
        <w:t xml:space="preserve"> C</w:t>
      </w:r>
      <w:r w:rsidR="00754F4E">
        <w:rPr>
          <w:rFonts w:ascii="Arial" w:hAnsi="Arial" w:cs="Arial"/>
          <w:b/>
          <w:bCs/>
          <w:color w:val="auto"/>
          <w:sz w:val="24"/>
          <w:szCs w:val="24"/>
        </w:rPr>
        <w:t>onstruções e Comércio Camargo Correa S/A</w:t>
      </w:r>
    </w:p>
    <w:p w14:paraId="71649B62" w14:textId="6105E0FF" w:rsidR="00ED7293" w:rsidRDefault="00754F4E" w:rsidP="00DA7B57">
      <w:pPr>
        <w:pStyle w:val="ArtigoFasul"/>
        <w:ind w:firstLine="708"/>
      </w:pPr>
      <w:r>
        <w:t>No caso da empresa Construções e Comércio Camargo Correa S/A</w:t>
      </w:r>
      <w:r w:rsidR="0033612E">
        <w:t xml:space="preserve">, embora seu sítio </w:t>
      </w:r>
      <w:r w:rsidR="008912A2">
        <w:t xml:space="preserve">eletrônico </w:t>
      </w:r>
      <w:r w:rsidR="0033612E">
        <w:t xml:space="preserve">oficial </w:t>
      </w:r>
      <w:r w:rsidR="008912A2">
        <w:t>possua a publicação de suas demonstrações contábeis</w:t>
      </w:r>
      <w:r w:rsidR="008912A2">
        <w:rPr>
          <w:rStyle w:val="Refdenotaderodap"/>
        </w:rPr>
        <w:footnoteReference w:id="9"/>
      </w:r>
      <w:r w:rsidR="008912A2">
        <w:t xml:space="preserve">, os dados mais recentes disponibilizados se referem ao exercício de </w:t>
      </w:r>
      <w:r w:rsidR="00B52285">
        <w:t>2018</w:t>
      </w:r>
      <w:r w:rsidR="00847868">
        <w:t>.</w:t>
      </w:r>
    </w:p>
    <w:p w14:paraId="36A6B75F" w14:textId="1CED76C2" w:rsidR="00847868" w:rsidRDefault="0021022D" w:rsidP="00DA7B57">
      <w:pPr>
        <w:pStyle w:val="ArtigoFasul"/>
        <w:ind w:firstLine="708"/>
      </w:pPr>
      <w:r>
        <w:t>Ainda assim</w:t>
      </w:r>
      <w:r w:rsidR="00847868">
        <w:t>, os dados das demonstrações contábeis de 31/12/2018 encontram-se indisponíveis</w:t>
      </w:r>
      <w:r>
        <w:t>, visto ser requerido para seu acesso login e senha</w:t>
      </w:r>
      <w:r w:rsidR="006A4268">
        <w:t xml:space="preserve">, havendo </w:t>
      </w:r>
      <w:r w:rsidR="00E72446">
        <w:t>necessidade de cadastro prévio do solicitante, com justificativa para acesso e posterior avaliação pela empresa acerca da concessão ou não do acesso</w:t>
      </w:r>
      <w:r w:rsidR="00E72446">
        <w:rPr>
          <w:rStyle w:val="Refdenotaderodap"/>
        </w:rPr>
        <w:footnoteReference w:id="10"/>
      </w:r>
      <w:r w:rsidR="00E72446">
        <w:t>.</w:t>
      </w:r>
    </w:p>
    <w:p w14:paraId="4D48D644" w14:textId="5A060CE4" w:rsidR="006918FE" w:rsidRDefault="006918FE" w:rsidP="00DA7B57">
      <w:pPr>
        <w:pStyle w:val="ArtigoFasul"/>
        <w:ind w:firstLine="708"/>
      </w:pPr>
      <w:r>
        <w:t xml:space="preserve">Pesquisas adicionais por meio de ferramentas de busca da </w:t>
      </w:r>
      <w:r>
        <w:rPr>
          <w:i/>
          <w:iCs/>
        </w:rPr>
        <w:t>internet</w:t>
      </w:r>
      <w:r>
        <w:t xml:space="preserve"> revelaram-se infrutíferas.</w:t>
      </w:r>
    </w:p>
    <w:p w14:paraId="5A5A2C70" w14:textId="5880E855" w:rsidR="006918FE" w:rsidRDefault="006918FE" w:rsidP="006918FE">
      <w:pPr>
        <w:pStyle w:val="ArtigoFasul"/>
        <w:ind w:firstLine="708"/>
      </w:pPr>
      <w:r>
        <w:t>Portanto, assim como no caso da Construtora Coesa S/A – Em Recuperação Judicial, a busca pelas demonstrações contábeis da referida empresa não foi bem-sucedida, razão pela qual tornou-se impossível fazer a análise pretendida.</w:t>
      </w:r>
    </w:p>
    <w:p w14:paraId="3F5FD424" w14:textId="77777777" w:rsidR="006918FE" w:rsidRPr="006918FE" w:rsidRDefault="006918FE" w:rsidP="00DA7B57">
      <w:pPr>
        <w:pStyle w:val="ArtigoFasul"/>
        <w:ind w:firstLine="708"/>
      </w:pPr>
    </w:p>
    <w:p w14:paraId="74234EEE" w14:textId="77777777" w:rsidR="00FB219C" w:rsidRPr="00FB219C" w:rsidRDefault="00FB219C" w:rsidP="00FB219C"/>
    <w:p w14:paraId="266A315F" w14:textId="4F481087" w:rsidR="00FB219C" w:rsidRPr="00AF19DE" w:rsidRDefault="004645CC" w:rsidP="00FB219C">
      <w:pPr>
        <w:pStyle w:val="Ttulo2"/>
        <w:numPr>
          <w:ilvl w:val="0"/>
          <w:numId w:val="1"/>
        </w:numPr>
        <w:ind w:left="0" w:firstLine="0"/>
        <w:rPr>
          <w:rFonts w:ascii="Arial" w:hAnsi="Arial" w:cs="Arial"/>
          <w:b/>
          <w:bCs/>
          <w:color w:val="auto"/>
          <w:sz w:val="24"/>
          <w:szCs w:val="24"/>
        </w:rPr>
      </w:pPr>
      <w:r w:rsidRPr="00AF19DE">
        <w:rPr>
          <w:rFonts w:ascii="Arial" w:hAnsi="Arial" w:cs="Arial"/>
          <w:b/>
          <w:bCs/>
          <w:color w:val="auto"/>
          <w:sz w:val="24"/>
          <w:szCs w:val="24"/>
        </w:rPr>
        <w:lastRenderedPageBreak/>
        <w:t>CONSIDERAÇÕES FINAIS</w:t>
      </w:r>
    </w:p>
    <w:p w14:paraId="18DEFC88" w14:textId="25521FBE" w:rsidR="005513A4" w:rsidRDefault="005513A4" w:rsidP="005864C7">
      <w:pPr>
        <w:pStyle w:val="ArtigoFasul"/>
        <w:ind w:firstLine="708"/>
      </w:pPr>
    </w:p>
    <w:p w14:paraId="4FDDCB9D" w14:textId="6DB47933" w:rsidR="00283226" w:rsidRDefault="005864C7" w:rsidP="00283226">
      <w:pPr>
        <w:pStyle w:val="ArtigoFasul"/>
        <w:ind w:firstLine="708"/>
      </w:pPr>
      <w:r>
        <w:t xml:space="preserve">Primeiramente, verificou-se que os dados colhidos na presente pesquisa corroboraram </w:t>
      </w:r>
      <w:r w:rsidR="00AA0A6B">
        <w:t xml:space="preserve">a indicação feita pela literatura quanto </w:t>
      </w:r>
      <w:r w:rsidR="00777175">
        <w:t>à</w:t>
      </w:r>
      <w:r w:rsidR="00AA0A6B">
        <w:t xml:space="preserve"> baixa eficácia dos mecanismos de cobrança de condenações pecuniárias impostas pelo TCU</w:t>
      </w:r>
      <w:r w:rsidR="00DD344A">
        <w:t xml:space="preserve">, uma vez </w:t>
      </w:r>
      <w:r w:rsidR="009A38D3">
        <w:t>que, nas demonstrações contábeis d</w:t>
      </w:r>
      <w:r w:rsidR="00361156">
        <w:t>e uma das</w:t>
      </w:r>
      <w:r w:rsidR="009A38D3">
        <w:t xml:space="preserve"> empresas da amostra, n</w:t>
      </w:r>
      <w:r w:rsidR="00283226">
        <w:t>ão houve reconhecimento dessas condenações como provisões</w:t>
      </w:r>
      <w:r w:rsidR="00AA0A6B">
        <w:t>.</w:t>
      </w:r>
    </w:p>
    <w:p w14:paraId="3D8AB411" w14:textId="750A1E71" w:rsidR="005513A4" w:rsidRDefault="00777175" w:rsidP="00955509">
      <w:pPr>
        <w:pStyle w:val="ArtigoFasul"/>
        <w:ind w:firstLine="708"/>
      </w:pPr>
      <w:r>
        <w:t xml:space="preserve">De fato, observou-se que a percepção de uma das empresas que sofreu condenações de grande vulto financeiro por parte do TCU </w:t>
      </w:r>
      <w:r w:rsidR="004B1FAE">
        <w:t xml:space="preserve">– a empresa OEC S/A - </w:t>
      </w:r>
      <w:r>
        <w:t xml:space="preserve">é de que </w:t>
      </w:r>
      <w:r w:rsidR="004B1FAE">
        <w:t>não é provável que haja saída de recursos para fins de ressarcimento ao erário</w:t>
      </w:r>
      <w:r w:rsidR="00C476C0">
        <w:t>, haja vista que a referida empresa indicou que condenação imposta por órgão de controle externo (TCE/RJ), e cuja respectiva ação de cobrança já foi ajuizada pelo Estado do Rio de Janeiro, não necessitaria ser contabilizada como provisão, tendo sido apenas destacada como um componente de seu passivo contingente.</w:t>
      </w:r>
    </w:p>
    <w:p w14:paraId="686F1F8D" w14:textId="0B3B3603" w:rsidR="00FB760D" w:rsidRDefault="00FB760D" w:rsidP="00254D3A">
      <w:pPr>
        <w:pStyle w:val="ArtigoFasul"/>
        <w:ind w:firstLine="708"/>
      </w:pPr>
      <w:r>
        <w:t>Outro aspecto que merece destaque é o fato de os acordos de leniência firmados pela mesma empresa terem recebido o tratamento contábil de provisão. Isso significa, em termos práticos, que a empresa tem a expectativa e a percepção de que terá que adimplir com as obrigações</w:t>
      </w:r>
      <w:r w:rsidR="00254D3A">
        <w:t xml:space="preserve"> pactuadas em seus acordos de leniência.</w:t>
      </w:r>
    </w:p>
    <w:p w14:paraId="1F507D57" w14:textId="59E7E73E" w:rsidR="00361156" w:rsidRDefault="00361156" w:rsidP="00384EB6">
      <w:pPr>
        <w:pStyle w:val="ArtigoFasul"/>
        <w:ind w:firstLine="708"/>
      </w:pPr>
      <w:r>
        <w:t>Além disso</w:t>
      </w:r>
      <w:r w:rsidR="00254D3A">
        <w:t xml:space="preserve">, </w:t>
      </w:r>
      <w:r>
        <w:t>cabe a ressalva que, das três empresas componentes da amostra, foi possível acessar livremente as demonstrações contábeis de apenas uma delas.</w:t>
      </w:r>
    </w:p>
    <w:p w14:paraId="3BC2B4CC" w14:textId="38615A15" w:rsidR="00924323" w:rsidRPr="00924323" w:rsidRDefault="00361156" w:rsidP="00924323">
      <w:pPr>
        <w:pStyle w:val="ArtigoFasul"/>
        <w:ind w:firstLine="708"/>
      </w:pPr>
      <w:r>
        <w:t xml:space="preserve">Em outras palavras, </w:t>
      </w:r>
      <w:r w:rsidR="00254D3A">
        <w:t>u</w:t>
      </w:r>
      <w:r w:rsidR="00955509">
        <w:t xml:space="preserve">m achado da pesquisa foi a </w:t>
      </w:r>
      <w:r w:rsidR="000B44D4">
        <w:t>dificuldade de acesso à</w:t>
      </w:r>
      <w:r w:rsidR="00955509">
        <w:t xml:space="preserve">s demonstrações contábeis </w:t>
      </w:r>
      <w:r w:rsidR="000B44D4">
        <w:t>de algumas das empresas componentes da amostra. Embora elas tenham natureza de sociedades anônimas</w:t>
      </w:r>
      <w:r w:rsidR="00AD6B2A">
        <w:t xml:space="preserve"> de capital fechado</w:t>
      </w:r>
      <w:r w:rsidR="000B44D4">
        <w:t>, não</w:t>
      </w:r>
      <w:r w:rsidR="009271D2">
        <w:t xml:space="preserve"> foi possível encontrar suas demonstrações contábeis publicadas em seu sítio </w:t>
      </w:r>
      <w:r w:rsidR="00384EB6">
        <w:t xml:space="preserve">eletrônico </w:t>
      </w:r>
      <w:r w:rsidR="009271D2">
        <w:t>oficial</w:t>
      </w:r>
      <w:r w:rsidR="00924323">
        <w:t xml:space="preserve"> ou por meio de buscas em ferramentas de pesquisas tradicionais da </w:t>
      </w:r>
      <w:r w:rsidR="00924323">
        <w:rPr>
          <w:i/>
          <w:iCs/>
        </w:rPr>
        <w:t>Internet</w:t>
      </w:r>
      <w:r w:rsidR="00924323">
        <w:t>.</w:t>
      </w:r>
    </w:p>
    <w:p w14:paraId="35DD07B4" w14:textId="4024021E" w:rsidR="008022C0" w:rsidRDefault="00384EB6" w:rsidP="00384EB6">
      <w:pPr>
        <w:pStyle w:val="ArtigoFasul"/>
        <w:ind w:firstLine="708"/>
      </w:pPr>
      <w:r>
        <w:t xml:space="preserve">Entende-se que essa pesquisa pode </w:t>
      </w:r>
      <w:r w:rsidR="00597C2B">
        <w:t>ser ampliada para um número maior de empresas que constem de registros de dívidas</w:t>
      </w:r>
      <w:r w:rsidR="00F075FA">
        <w:t xml:space="preserve"> tributárias</w:t>
      </w:r>
      <w:r w:rsidR="00AC63F4">
        <w:t xml:space="preserve"> ou não-tributárias</w:t>
      </w:r>
      <w:r w:rsidR="00597C2B">
        <w:t xml:space="preserve"> com a União</w:t>
      </w:r>
      <w:r w:rsidR="00F075FA">
        <w:t>, a exemplo da Dívida Ativa da União</w:t>
      </w:r>
      <w:r w:rsidR="00AC63F4">
        <w:t xml:space="preserve"> ou de cadastros de dívidas previdenciárias ou com o Fundo de Garantia por Tempo de Serviço (FGTS)</w:t>
      </w:r>
      <w:r w:rsidR="00F075FA">
        <w:t xml:space="preserve">, </w:t>
      </w:r>
      <w:r w:rsidR="00B97639">
        <w:t>a fim de comparar qual é a expectativa do mercado acerca da eficácia dos mecanismos de cobrança que cada tipo de dívida</w:t>
      </w:r>
      <w:r w:rsidR="00102AED">
        <w:t xml:space="preserve"> e seu respectivo estágio: </w:t>
      </w:r>
    </w:p>
    <w:p w14:paraId="4A6B5213" w14:textId="1238710E" w:rsidR="008022C0" w:rsidRDefault="00102AED" w:rsidP="008022C0">
      <w:pPr>
        <w:pStyle w:val="ArtigoFasul"/>
        <w:numPr>
          <w:ilvl w:val="0"/>
          <w:numId w:val="5"/>
        </w:numPr>
      </w:pPr>
      <w:r>
        <w:t xml:space="preserve">na fase de autuação; </w:t>
      </w:r>
    </w:p>
    <w:p w14:paraId="73F72044" w14:textId="77777777" w:rsidR="008022C0" w:rsidRDefault="00102AED" w:rsidP="008022C0">
      <w:pPr>
        <w:pStyle w:val="ArtigoFasul"/>
        <w:numPr>
          <w:ilvl w:val="0"/>
          <w:numId w:val="5"/>
        </w:numPr>
      </w:pPr>
      <w:r>
        <w:lastRenderedPageBreak/>
        <w:t xml:space="preserve">na fase de lançamento do crédito tributário; </w:t>
      </w:r>
    </w:p>
    <w:p w14:paraId="74EF4A06" w14:textId="77777777" w:rsidR="008022C0" w:rsidRDefault="00102AED" w:rsidP="008022C0">
      <w:pPr>
        <w:pStyle w:val="ArtigoFasul"/>
        <w:numPr>
          <w:ilvl w:val="0"/>
          <w:numId w:val="5"/>
        </w:numPr>
      </w:pPr>
      <w:r>
        <w:t xml:space="preserve">na fase de </w:t>
      </w:r>
      <w:r w:rsidR="00870F05">
        <w:t>inscrição em Dívida Ativa</w:t>
      </w:r>
      <w:r w:rsidR="008022C0">
        <w:t xml:space="preserve"> e cobrança administrativa</w:t>
      </w:r>
      <w:r w:rsidR="00870F05">
        <w:t xml:space="preserve">; </w:t>
      </w:r>
    </w:p>
    <w:p w14:paraId="740AE1D8" w14:textId="77777777" w:rsidR="008022C0" w:rsidRDefault="00870F05" w:rsidP="008022C0">
      <w:pPr>
        <w:pStyle w:val="ArtigoFasul"/>
        <w:numPr>
          <w:ilvl w:val="0"/>
          <w:numId w:val="5"/>
        </w:numPr>
      </w:pPr>
      <w:r>
        <w:t xml:space="preserve">na fase de </w:t>
      </w:r>
      <w:r w:rsidR="00D124F1">
        <w:t xml:space="preserve">eventual negociação; </w:t>
      </w:r>
    </w:p>
    <w:p w14:paraId="52DBAD08" w14:textId="400ED51E" w:rsidR="008022C0" w:rsidRDefault="00D124F1" w:rsidP="008022C0">
      <w:pPr>
        <w:pStyle w:val="ArtigoFasul"/>
        <w:numPr>
          <w:ilvl w:val="0"/>
          <w:numId w:val="5"/>
        </w:numPr>
      </w:pPr>
      <w:r>
        <w:t>na fase de eventual transação tributária firmada com a Procuradoria</w:t>
      </w:r>
      <w:r w:rsidR="00111E6F">
        <w:t>-Geral</w:t>
      </w:r>
      <w:r>
        <w:t xml:space="preserve"> da Fazenda Nacional</w:t>
      </w:r>
      <w:r w:rsidR="00111E6F">
        <w:t xml:space="preserve"> (PGFN)</w:t>
      </w:r>
      <w:r>
        <w:t xml:space="preserve">; </w:t>
      </w:r>
      <w:r w:rsidR="008022C0">
        <w:t>e</w:t>
      </w:r>
    </w:p>
    <w:p w14:paraId="567618AC" w14:textId="67B84D9B" w:rsidR="00384EB6" w:rsidRDefault="008022C0" w:rsidP="008022C0">
      <w:pPr>
        <w:pStyle w:val="ArtigoFasul"/>
        <w:numPr>
          <w:ilvl w:val="0"/>
          <w:numId w:val="5"/>
        </w:numPr>
      </w:pPr>
      <w:r>
        <w:t>na fase de cobrança judicial.</w:t>
      </w:r>
    </w:p>
    <w:p w14:paraId="2ED6890A" w14:textId="29346D54" w:rsidR="00111E6F" w:rsidRDefault="00BA1030" w:rsidP="00111E6F">
      <w:pPr>
        <w:pStyle w:val="ArtigoFasul"/>
        <w:ind w:firstLine="708"/>
      </w:pPr>
      <w:r>
        <w:t>Colher essas percepções e expectativas do mercado</w:t>
      </w:r>
      <w:r w:rsidR="00111E6F">
        <w:t xml:space="preserve"> poder</w:t>
      </w:r>
      <w:r>
        <w:t>á servir para</w:t>
      </w:r>
      <w:r w:rsidR="00111E6F">
        <w:t xml:space="preserve"> calibrar modelos que permitam</w:t>
      </w:r>
      <w:r w:rsidR="00C145F8">
        <w:t xml:space="preserve"> calcular qual é o grau percentual de eficácia na cobrança de dívidas pela União.</w:t>
      </w:r>
      <w:r w:rsidR="00DE01F9">
        <w:t xml:space="preserve"> Um cálculo robusto do grau de eficácia d</w:t>
      </w:r>
      <w:r w:rsidR="0089326E">
        <w:t>a</w:t>
      </w:r>
      <w:r w:rsidR="00DE01F9">
        <w:t xml:space="preserve"> cobrança </w:t>
      </w:r>
      <w:r w:rsidR="0089326E">
        <w:t xml:space="preserve">da dívida permitirá ter balizas claras e objetivas para eventuais negociações ou transações, visando tornar mais eficiente </w:t>
      </w:r>
      <w:r w:rsidR="00DE09A6">
        <w:t>a recuperação desses créditos públicos</w:t>
      </w:r>
      <w:r w:rsidR="0089326E">
        <w:t>.</w:t>
      </w:r>
    </w:p>
    <w:p w14:paraId="338E3C3E" w14:textId="77777777" w:rsidR="00FB219C" w:rsidRDefault="00FB219C" w:rsidP="00FB219C"/>
    <w:p w14:paraId="14E0069B" w14:textId="1F9B794D" w:rsidR="00FB219C" w:rsidRPr="00AF19DE" w:rsidRDefault="004645CC" w:rsidP="00FB219C">
      <w:pPr>
        <w:pStyle w:val="Ttulo2"/>
        <w:numPr>
          <w:ilvl w:val="0"/>
          <w:numId w:val="1"/>
        </w:numPr>
        <w:ind w:left="0" w:firstLine="0"/>
        <w:rPr>
          <w:rFonts w:ascii="Arial" w:hAnsi="Arial" w:cs="Arial"/>
          <w:b/>
          <w:bCs/>
          <w:color w:val="auto"/>
          <w:sz w:val="24"/>
          <w:szCs w:val="24"/>
        </w:rPr>
      </w:pPr>
      <w:r w:rsidRPr="00AF19DE">
        <w:rPr>
          <w:rFonts w:ascii="Arial" w:hAnsi="Arial" w:cs="Arial"/>
          <w:b/>
          <w:bCs/>
          <w:color w:val="auto"/>
          <w:sz w:val="24"/>
          <w:szCs w:val="24"/>
        </w:rPr>
        <w:t>REFERÊNCIAS BIBLIOGRÁFICAS</w:t>
      </w:r>
    </w:p>
    <w:p w14:paraId="6A7B9DC1" w14:textId="14A3D270" w:rsidR="00CC3E4F" w:rsidRDefault="002172C4" w:rsidP="005513A4">
      <w:pPr>
        <w:pStyle w:val="ArtigoFasul"/>
        <w:rPr>
          <w:b/>
          <w:bCs/>
        </w:rPr>
      </w:pPr>
      <w:r w:rsidRPr="002172C4">
        <w:rPr>
          <w:b/>
          <w:bCs/>
        </w:rPr>
        <w:t>BRASIL</w:t>
      </w:r>
      <w:r>
        <w:t xml:space="preserve">. </w:t>
      </w:r>
      <w:r>
        <w:rPr>
          <w:rStyle w:val="nfase"/>
        </w:rPr>
        <w:t>Lei nº 6.404, de 15 de dezembro de 1976</w:t>
      </w:r>
      <w:r>
        <w:t>. Dispõe sobre as sociedades por ações. Disponível em: &lt;</w:t>
      </w:r>
      <w:hyperlink r:id="rId13" w:history="1">
        <w:r w:rsidRPr="00043FAF">
          <w:rPr>
            <w:rStyle w:val="Hyperlink"/>
          </w:rPr>
          <w:t>https://www.planalto.gov.br/ccivil_03/LEIS/L6404consol.htm</w:t>
        </w:r>
      </w:hyperlink>
      <w:r>
        <w:t>&gt;. Acesso em: 15 ago. 2024.</w:t>
      </w:r>
    </w:p>
    <w:p w14:paraId="359CA100" w14:textId="7356F82C" w:rsidR="00265D0F" w:rsidRDefault="008E6CCF" w:rsidP="005513A4">
      <w:pPr>
        <w:pStyle w:val="ArtigoFasul"/>
        <w:rPr>
          <w:b/>
          <w:bCs/>
        </w:rPr>
      </w:pPr>
      <w:r w:rsidRPr="008E6CCF">
        <w:rPr>
          <w:b/>
          <w:bCs/>
        </w:rPr>
        <w:t>BRASIL</w:t>
      </w:r>
      <w:r>
        <w:t xml:space="preserve">. </w:t>
      </w:r>
      <w:r>
        <w:rPr>
          <w:rStyle w:val="nfase"/>
        </w:rPr>
        <w:t>Constituição da República Federativa do Brasil de 1988</w:t>
      </w:r>
      <w:r>
        <w:t>. 1988. Disponível em: &lt;</w:t>
      </w:r>
      <w:hyperlink r:id="rId14" w:history="1">
        <w:r w:rsidR="00CC3E4F" w:rsidRPr="00043FAF">
          <w:rPr>
            <w:rStyle w:val="Hyperlink"/>
          </w:rPr>
          <w:t>https://www.planalto.gov.br/ccivil_03/constituicao/constituicao.htm</w:t>
        </w:r>
      </w:hyperlink>
      <w:r>
        <w:t xml:space="preserve">&gt;. Acesso em: </w:t>
      </w:r>
      <w:r w:rsidR="00CC3E4F">
        <w:t>15 ago. 2024.</w:t>
      </w:r>
    </w:p>
    <w:p w14:paraId="47962953" w14:textId="093E49A9" w:rsidR="00FE2479" w:rsidRDefault="00FE2479" w:rsidP="005513A4">
      <w:pPr>
        <w:pStyle w:val="ArtigoFasul"/>
      </w:pPr>
      <w:r w:rsidRPr="00FE2479">
        <w:rPr>
          <w:b/>
          <w:bCs/>
        </w:rPr>
        <w:t>BRASIL.</w:t>
      </w:r>
      <w:r w:rsidRPr="00FE2479">
        <w:t xml:space="preserve"> Tribunal de Contas da União. </w:t>
      </w:r>
      <w:r w:rsidRPr="00FE2479">
        <w:rPr>
          <w:i/>
          <w:iCs/>
        </w:rPr>
        <w:t>Acórdão 2.677/2018</w:t>
      </w:r>
      <w:r w:rsidRPr="00FE2479">
        <w:t xml:space="preserve">. Plenário. Rel. Min. Benjamin Zymler. Ata 46/2018-Plenário. Sessão de 21/11/2018. Disponível em: </w:t>
      </w:r>
      <w:hyperlink r:id="rId15" w:tgtFrame="_new" w:history="1">
        <w:r w:rsidRPr="00FE2479">
          <w:rPr>
            <w:rStyle w:val="Hyperlink"/>
          </w:rPr>
          <w:t>https://pesquisa.apps.tcu.gov.br/redireciona/acordao-completo/ACORDAO-COMPLETO-2336238</w:t>
        </w:r>
      </w:hyperlink>
      <w:r w:rsidRPr="00FE2479">
        <w:t>. Acesso em: 8 ago. 2024.</w:t>
      </w:r>
    </w:p>
    <w:p w14:paraId="6DD74C28" w14:textId="19593F67" w:rsidR="00BA4C56" w:rsidRDefault="00BA4C56" w:rsidP="00983A90">
      <w:pPr>
        <w:pStyle w:val="ArtigoFasul"/>
      </w:pPr>
      <w:r w:rsidRPr="00BA4C56">
        <w:rPr>
          <w:b/>
          <w:bCs/>
        </w:rPr>
        <w:t>BRASIL.</w:t>
      </w:r>
      <w:r w:rsidRPr="00BA4C56">
        <w:t xml:space="preserve"> Tribunal de Contas da União. </w:t>
      </w:r>
      <w:r w:rsidRPr="00BA4C56">
        <w:rPr>
          <w:i/>
          <w:iCs/>
        </w:rPr>
        <w:t>Site TCU e a Lava Jato</w:t>
      </w:r>
      <w:r w:rsidRPr="00BA4C56">
        <w:t xml:space="preserve">. Brasília, 7 out. 2020. Disponível em: </w:t>
      </w:r>
      <w:hyperlink r:id="rId16" w:tgtFrame="_new" w:history="1">
        <w:r w:rsidRPr="00BA4C56">
          <w:rPr>
            <w:rStyle w:val="Hyperlink"/>
          </w:rPr>
          <w:t>https://portal.tcu.gov.br/combate-a-corrupcao/tcu-e-a-lava-jato.htm</w:t>
        </w:r>
      </w:hyperlink>
      <w:r w:rsidRPr="00BA4C56">
        <w:t>. Acesso em: 8 ago. 2024</w:t>
      </w:r>
      <w:r>
        <w:t>.</w:t>
      </w:r>
    </w:p>
    <w:p w14:paraId="4C3A6A96" w14:textId="5D327E80" w:rsidR="00BA4C56" w:rsidRDefault="00BA4C56" w:rsidP="000E641A">
      <w:pPr>
        <w:pStyle w:val="ArtigoFasul"/>
      </w:pPr>
      <w:r w:rsidRPr="00BA4C56">
        <w:rPr>
          <w:b/>
          <w:bCs/>
        </w:rPr>
        <w:t>MARTINEZ, Nagib Chaul.</w:t>
      </w:r>
      <w:r w:rsidRPr="00BA4C56">
        <w:t xml:space="preserve"> </w:t>
      </w:r>
      <w:r w:rsidRPr="00BA4C56">
        <w:rPr>
          <w:i/>
          <w:iCs/>
        </w:rPr>
        <w:t>A efetividade das condenações pecuniárias do Tribunal de Contas da União em face da reapreciação judicial de suas decisões: o problema do acórdão do TCU como título executivo meramente extrajudicial</w:t>
      </w:r>
      <w:r w:rsidRPr="00BA4C56">
        <w:t xml:space="preserve">. Curso de Especialização em Direito Público e Controle Externo, Brasília, 2006. Disponível em: </w:t>
      </w:r>
      <w:hyperlink r:id="rId17" w:tgtFrame="_new" w:history="1">
        <w:r w:rsidRPr="00BA4C56">
          <w:rPr>
            <w:rStyle w:val="Hyperlink"/>
          </w:rPr>
          <w:t>https://portal.tcu.gov.br/lumis/portal/file/fileDownload.jsp?fileId=8A8182A24F0A728E014F0AD690F535ED</w:t>
        </w:r>
      </w:hyperlink>
      <w:r w:rsidRPr="00BA4C56">
        <w:t>. Acesso em: 8 ago. 2024.</w:t>
      </w:r>
    </w:p>
    <w:p w14:paraId="55F79021" w14:textId="22D7BD57" w:rsidR="00BA4C56" w:rsidRDefault="00BA4C56" w:rsidP="000E641A">
      <w:pPr>
        <w:pStyle w:val="ArtigoFasul"/>
      </w:pPr>
      <w:r w:rsidRPr="00BA4C56">
        <w:rPr>
          <w:b/>
          <w:bCs/>
        </w:rPr>
        <w:lastRenderedPageBreak/>
        <w:t>NASCIMENTO, Rodrigo Melo.</w:t>
      </w:r>
      <w:r w:rsidRPr="00BA4C56">
        <w:t xml:space="preserve"> </w:t>
      </w:r>
      <w:r w:rsidR="005F0D40">
        <w:t>“</w:t>
      </w:r>
      <w:r w:rsidRPr="00BA4C56">
        <w:t>A execução judicial das decisões proferidas pelos Tribunais de Contas</w:t>
      </w:r>
      <w:r w:rsidR="005F0D40">
        <w:t>”</w:t>
      </w:r>
      <w:r w:rsidRPr="00BA4C56">
        <w:t xml:space="preserve">. </w:t>
      </w:r>
      <w:r w:rsidRPr="00BA4C56">
        <w:rPr>
          <w:i/>
          <w:iCs/>
        </w:rPr>
        <w:t>Revista do TCU</w:t>
      </w:r>
      <w:r w:rsidRPr="00BA4C56">
        <w:t xml:space="preserve">, n. 125, p. 84-101, set./dez. 2012. Disponível em: </w:t>
      </w:r>
      <w:hyperlink r:id="rId18" w:tgtFrame="_new" w:history="1">
        <w:r w:rsidRPr="00BA4C56">
          <w:rPr>
            <w:rStyle w:val="Hyperlink"/>
          </w:rPr>
          <w:t>https://revista.tcu.gov.br/ojs/index.php/RTCU/article/view/111/108</w:t>
        </w:r>
      </w:hyperlink>
      <w:r w:rsidRPr="00BA4C56">
        <w:t>. Acesso em: 8 ago. 2024.</w:t>
      </w:r>
    </w:p>
    <w:p w14:paraId="59084328" w14:textId="31F01478" w:rsidR="00F17A83" w:rsidRDefault="00F17A83" w:rsidP="000E641A">
      <w:pPr>
        <w:pStyle w:val="ArtigoFasul"/>
      </w:pPr>
      <w:r w:rsidRPr="00F17A83">
        <w:rPr>
          <w:b/>
          <w:bCs/>
        </w:rPr>
        <w:t>OEC S.A.</w:t>
      </w:r>
      <w:r w:rsidRPr="00F17A83">
        <w:t xml:space="preserve"> </w:t>
      </w:r>
      <w:r w:rsidRPr="00F17A83">
        <w:rPr>
          <w:i/>
          <w:iCs/>
        </w:rPr>
        <w:t>Relatório do auditor independente: demonstrações contábeis consolidadas em 31 de dezembro de 2023</w:t>
      </w:r>
      <w:r w:rsidRPr="00F17A83">
        <w:t xml:space="preserve">. São Paulo, 2023. Disponível em: </w:t>
      </w:r>
      <w:hyperlink r:id="rId19" w:tgtFrame="_new" w:history="1">
        <w:r w:rsidRPr="00F17A83">
          <w:rPr>
            <w:rStyle w:val="Hyperlink"/>
          </w:rPr>
          <w:t>https://ri.oec-eng.com/demonstracoes-financeiras/</w:t>
        </w:r>
      </w:hyperlink>
      <w:r w:rsidRPr="00F17A83">
        <w:t>. Acesso em: 12 ago. 2024.</w:t>
      </w:r>
    </w:p>
    <w:p w14:paraId="4BF33933" w14:textId="4030D8E2" w:rsidR="00F17A83" w:rsidRDefault="00F17A83" w:rsidP="000E641A">
      <w:pPr>
        <w:pStyle w:val="ArtigoFasul"/>
      </w:pPr>
      <w:r w:rsidRPr="00F17A83">
        <w:rPr>
          <w:b/>
          <w:bCs/>
        </w:rPr>
        <w:t>PORCIÚNCULA JR., Sérgio A.</w:t>
      </w:r>
      <w:r w:rsidRPr="00F17A83">
        <w:t xml:space="preserve"> </w:t>
      </w:r>
      <w:r w:rsidRPr="00F17A83">
        <w:rPr>
          <w:i/>
          <w:iCs/>
        </w:rPr>
        <w:t>Contabilidade Avançada</w:t>
      </w:r>
      <w:r w:rsidRPr="00F17A83">
        <w:t>. 1. ed. Curitiba: Iesde, 2020. 162 p.</w:t>
      </w:r>
    </w:p>
    <w:p w14:paraId="36A86AD6" w14:textId="6B26DC65" w:rsidR="00F17A83" w:rsidRPr="0078780C" w:rsidRDefault="00F17A83" w:rsidP="000E641A">
      <w:pPr>
        <w:pStyle w:val="ArtigoFasul"/>
        <w:rPr>
          <w:lang w:val="en-US"/>
        </w:rPr>
      </w:pPr>
      <w:r w:rsidRPr="00F17A83">
        <w:rPr>
          <w:b/>
          <w:bCs/>
        </w:rPr>
        <w:t>SILVA, João Edson da; ANTONOVZ, Tatiane.</w:t>
      </w:r>
      <w:r w:rsidRPr="00F17A83">
        <w:t xml:space="preserve"> </w:t>
      </w:r>
      <w:r w:rsidRPr="00F17A83">
        <w:rPr>
          <w:i/>
          <w:iCs/>
        </w:rPr>
        <w:t>Contabilidade Geral</w:t>
      </w:r>
      <w:r w:rsidRPr="00F17A83">
        <w:t xml:space="preserve">. 2. ed. Curitiba: Iesde, 2018. </w:t>
      </w:r>
      <w:r w:rsidRPr="0078780C">
        <w:rPr>
          <w:lang w:val="en-US"/>
        </w:rPr>
        <w:t>170 p.</w:t>
      </w:r>
    </w:p>
    <w:p w14:paraId="14D860D3" w14:textId="30AC1213" w:rsidR="00B80E71" w:rsidRPr="00B80E71" w:rsidRDefault="005F0D40" w:rsidP="000E641A">
      <w:pPr>
        <w:pStyle w:val="ArtigoFasul"/>
        <w:rPr>
          <w:lang w:val="en-US"/>
        </w:rPr>
      </w:pPr>
      <w:r w:rsidRPr="005F0D40">
        <w:rPr>
          <w:b/>
          <w:bCs/>
          <w:lang w:val="en-US"/>
        </w:rPr>
        <w:t>SMITH, C.D.</w:t>
      </w:r>
      <w:r w:rsidRPr="005F0D40">
        <w:rPr>
          <w:lang w:val="en-US"/>
        </w:rPr>
        <w:t xml:space="preserve"> </w:t>
      </w:r>
      <w:r w:rsidR="002C296A">
        <w:rPr>
          <w:lang w:val="en-US"/>
        </w:rPr>
        <w:t>“</w:t>
      </w:r>
      <w:r w:rsidRPr="005F0D40">
        <w:rPr>
          <w:lang w:val="en-US"/>
        </w:rPr>
        <w:t>Detecting and preventing public procurement fraud.</w:t>
      </w:r>
      <w:r w:rsidR="002C296A">
        <w:rPr>
          <w:lang w:val="en-US"/>
        </w:rPr>
        <w:t>”</w:t>
      </w:r>
      <w:r w:rsidRPr="005F0D40">
        <w:rPr>
          <w:lang w:val="en-US"/>
        </w:rPr>
        <w:t xml:space="preserve"> In: WHITE-COLLAR CRIME AND THE PUBLIC SECTOR. </w:t>
      </w:r>
      <w:r w:rsidRPr="0078780C">
        <w:rPr>
          <w:lang w:val="en-US"/>
        </w:rPr>
        <w:t xml:space="preserve">Palgrave Macmillan, Cham, 2022. </w:t>
      </w:r>
      <w:r w:rsidRPr="005F0D40">
        <w:t xml:space="preserve">Disponível em: </w:t>
      </w:r>
      <w:hyperlink r:id="rId20" w:tgtFrame="_new" w:history="1">
        <w:r w:rsidRPr="005F0D40">
          <w:rPr>
            <w:rStyle w:val="Hyperlink"/>
          </w:rPr>
          <w:t>https://doi.org/10.1007/978-3-031-12567-6_7</w:t>
        </w:r>
      </w:hyperlink>
      <w:r w:rsidRPr="005F0D40">
        <w:t>. Acesso em: 12 ago. 2024.</w:t>
      </w:r>
      <w:r w:rsidR="00B80E71">
        <w:rPr>
          <w:lang w:val="en-US"/>
        </w:rPr>
        <w:t xml:space="preserve"> </w:t>
      </w:r>
    </w:p>
    <w:sectPr w:rsidR="00B80E71" w:rsidRPr="00B80E71" w:rsidSect="00FB219C">
      <w:foot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A5FB4" w14:textId="77777777" w:rsidR="00325850" w:rsidRDefault="00325850" w:rsidP="00773DC1">
      <w:pPr>
        <w:spacing w:after="0" w:line="240" w:lineRule="auto"/>
      </w:pPr>
      <w:r>
        <w:separator/>
      </w:r>
    </w:p>
  </w:endnote>
  <w:endnote w:type="continuationSeparator" w:id="0">
    <w:p w14:paraId="16ECCE68" w14:textId="77777777" w:rsidR="00325850" w:rsidRDefault="00325850" w:rsidP="00773DC1">
      <w:pPr>
        <w:spacing w:after="0" w:line="240" w:lineRule="auto"/>
      </w:pPr>
      <w:r>
        <w:continuationSeparator/>
      </w:r>
    </w:p>
  </w:endnote>
  <w:endnote w:type="continuationNotice" w:id="1">
    <w:p w14:paraId="2EDD85A4" w14:textId="77777777" w:rsidR="00325850" w:rsidRDefault="00325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24480"/>
      <w:docPartObj>
        <w:docPartGallery w:val="Page Numbers (Bottom of Page)"/>
        <w:docPartUnique/>
      </w:docPartObj>
    </w:sdtPr>
    <w:sdtEndPr>
      <w:rPr>
        <w:rFonts w:ascii="Arial" w:hAnsi="Arial" w:cs="Arial"/>
      </w:rPr>
    </w:sdtEndPr>
    <w:sdtContent>
      <w:p w14:paraId="0BF5B932" w14:textId="43CEC410" w:rsidR="00773DC1" w:rsidRPr="00773DC1" w:rsidRDefault="00773DC1">
        <w:pPr>
          <w:pStyle w:val="Rodap"/>
          <w:jc w:val="right"/>
          <w:rPr>
            <w:rFonts w:ascii="Arial" w:hAnsi="Arial" w:cs="Arial"/>
          </w:rPr>
        </w:pPr>
        <w:r w:rsidRPr="00773DC1">
          <w:rPr>
            <w:rFonts w:ascii="Arial" w:hAnsi="Arial" w:cs="Arial"/>
          </w:rPr>
          <w:fldChar w:fldCharType="begin"/>
        </w:r>
        <w:r w:rsidRPr="00773DC1">
          <w:rPr>
            <w:rFonts w:ascii="Arial" w:hAnsi="Arial" w:cs="Arial"/>
          </w:rPr>
          <w:instrText>PAGE   \* MERGEFORMAT</w:instrText>
        </w:r>
        <w:r w:rsidRPr="00773DC1">
          <w:rPr>
            <w:rFonts w:ascii="Arial" w:hAnsi="Arial" w:cs="Arial"/>
          </w:rPr>
          <w:fldChar w:fldCharType="separate"/>
        </w:r>
        <w:r w:rsidR="00356FBA">
          <w:rPr>
            <w:rFonts w:ascii="Arial" w:hAnsi="Arial" w:cs="Arial"/>
            <w:noProof/>
          </w:rPr>
          <w:t>1</w:t>
        </w:r>
        <w:r w:rsidRPr="00773DC1">
          <w:rPr>
            <w:rFonts w:ascii="Arial" w:hAnsi="Arial" w:cs="Arial"/>
          </w:rPr>
          <w:fldChar w:fldCharType="end"/>
        </w:r>
      </w:p>
    </w:sdtContent>
  </w:sdt>
  <w:p w14:paraId="776D5D9C" w14:textId="77777777" w:rsidR="00773DC1" w:rsidRDefault="00773D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8ED41" w14:textId="77777777" w:rsidR="00325850" w:rsidRDefault="00325850" w:rsidP="00773DC1">
      <w:pPr>
        <w:spacing w:after="0" w:line="240" w:lineRule="auto"/>
      </w:pPr>
      <w:r>
        <w:separator/>
      </w:r>
    </w:p>
  </w:footnote>
  <w:footnote w:type="continuationSeparator" w:id="0">
    <w:p w14:paraId="78D404B7" w14:textId="77777777" w:rsidR="00325850" w:rsidRDefault="00325850" w:rsidP="00773DC1">
      <w:pPr>
        <w:spacing w:after="0" w:line="240" w:lineRule="auto"/>
      </w:pPr>
      <w:r>
        <w:continuationSeparator/>
      </w:r>
    </w:p>
  </w:footnote>
  <w:footnote w:type="continuationNotice" w:id="1">
    <w:p w14:paraId="58CB1C98" w14:textId="77777777" w:rsidR="00325850" w:rsidRDefault="00325850">
      <w:pPr>
        <w:spacing w:after="0" w:line="240" w:lineRule="auto"/>
      </w:pPr>
    </w:p>
  </w:footnote>
  <w:footnote w:id="2">
    <w:p w14:paraId="386C741C" w14:textId="4D8C6E5B" w:rsidR="001A1C0D" w:rsidRPr="001A1C0D" w:rsidRDefault="001A1C0D" w:rsidP="001A1C0D">
      <w:pPr>
        <w:pStyle w:val="Textodenotaderodap"/>
        <w:jc w:val="both"/>
        <w:rPr>
          <w:rFonts w:ascii="Arial" w:hAnsi="Arial" w:cs="Arial"/>
        </w:rPr>
      </w:pPr>
      <w:r w:rsidRPr="001A1C0D">
        <w:rPr>
          <w:rStyle w:val="Refdenotaderodap"/>
          <w:rFonts w:ascii="Arial" w:hAnsi="Arial" w:cs="Arial"/>
        </w:rPr>
        <w:footnoteRef/>
      </w:r>
      <w:r w:rsidRPr="001A1C0D">
        <w:rPr>
          <w:rFonts w:ascii="Arial" w:hAnsi="Arial" w:cs="Arial"/>
        </w:rPr>
        <w:t xml:space="preserve"> Engenheiro Civil</w:t>
      </w:r>
      <w:r>
        <w:rPr>
          <w:rFonts w:ascii="Arial" w:hAnsi="Arial" w:cs="Arial"/>
        </w:rPr>
        <w:t xml:space="preserve"> pela Universidade de Brasília - UnB, Especialista em Governança e Controle da Regulação em Infraestrutura pela Escola Nacional de Administração Pública (Enap) </w:t>
      </w:r>
      <w:r w:rsidR="000626C4">
        <w:rPr>
          <w:rFonts w:ascii="Arial" w:hAnsi="Arial" w:cs="Arial"/>
        </w:rPr>
        <w:t>e pelo Instituto Serzedello Corrêa – ISC/TCU.</w:t>
      </w:r>
    </w:p>
  </w:footnote>
  <w:footnote w:id="3">
    <w:p w14:paraId="50138DD6" w14:textId="1C225E0B" w:rsidR="007B3733" w:rsidRPr="007C3195" w:rsidRDefault="007B3733">
      <w:pPr>
        <w:pStyle w:val="Textodenotaderodap"/>
        <w:rPr>
          <w:rFonts w:ascii="Arial" w:hAnsi="Arial" w:cs="Arial"/>
        </w:rPr>
      </w:pPr>
      <w:r w:rsidRPr="007C3195">
        <w:rPr>
          <w:rStyle w:val="Refdenotaderodap"/>
          <w:rFonts w:ascii="Arial" w:hAnsi="Arial" w:cs="Arial"/>
        </w:rPr>
        <w:footnoteRef/>
      </w:r>
      <w:r w:rsidRPr="007C3195">
        <w:rPr>
          <w:rFonts w:ascii="Arial" w:hAnsi="Arial" w:cs="Arial"/>
        </w:rPr>
        <w:t xml:space="preserve"> Disponível em: </w:t>
      </w:r>
      <w:hyperlink r:id="rId1" w:history="1">
        <w:r w:rsidR="00CB198C" w:rsidRPr="007C3195">
          <w:rPr>
            <w:rStyle w:val="Hyperlink"/>
            <w:rFonts w:ascii="Arial" w:hAnsi="Arial" w:cs="Arial"/>
          </w:rPr>
          <w:t>https://portal.tcu.gov.br/combate-a-corrupcao/tcu-e-a-lava-jato.htm</w:t>
        </w:r>
      </w:hyperlink>
      <w:r w:rsidR="00CB198C" w:rsidRPr="007C3195">
        <w:rPr>
          <w:rFonts w:ascii="Arial" w:hAnsi="Arial" w:cs="Arial"/>
        </w:rPr>
        <w:t>, acesso em 8 ago. 2024.</w:t>
      </w:r>
    </w:p>
  </w:footnote>
  <w:footnote w:id="4">
    <w:p w14:paraId="1694D1AA" w14:textId="5FE62968" w:rsidR="007C3195" w:rsidRPr="007C3195" w:rsidRDefault="007C3195">
      <w:pPr>
        <w:pStyle w:val="Textodenotaderodap"/>
        <w:rPr>
          <w:rFonts w:ascii="Arial" w:hAnsi="Arial" w:cs="Arial"/>
        </w:rPr>
      </w:pPr>
      <w:r w:rsidRPr="007C3195">
        <w:rPr>
          <w:rStyle w:val="Refdenotaderodap"/>
          <w:rFonts w:ascii="Arial" w:hAnsi="Arial" w:cs="Arial"/>
        </w:rPr>
        <w:footnoteRef/>
      </w:r>
      <w:r w:rsidRPr="007C3195">
        <w:rPr>
          <w:rFonts w:ascii="Arial" w:hAnsi="Arial" w:cs="Arial"/>
        </w:rPr>
        <w:t xml:space="preserve">  Disponível em: &lt;</w:t>
      </w:r>
      <w:hyperlink r:id="rId2" w:history="1">
        <w:r w:rsidRPr="007C3195">
          <w:rPr>
            <w:rStyle w:val="Hyperlink"/>
            <w:rFonts w:ascii="Arial" w:hAnsi="Arial" w:cs="Arial"/>
          </w:rPr>
          <w:t>https://pesquisa.apps.tcu.gov.br/pesquisa/integrada</w:t>
        </w:r>
      </w:hyperlink>
      <w:r w:rsidRPr="007C3195">
        <w:rPr>
          <w:rFonts w:ascii="Arial" w:hAnsi="Arial" w:cs="Arial"/>
        </w:rPr>
        <w:t>&gt;, acesso em 12 ago. 2024</w:t>
      </w:r>
    </w:p>
  </w:footnote>
  <w:footnote w:id="5">
    <w:p w14:paraId="0D212882" w14:textId="65841C94" w:rsidR="00094377" w:rsidRPr="004455F1" w:rsidRDefault="00094377">
      <w:pPr>
        <w:pStyle w:val="Textodenotaderodap"/>
        <w:rPr>
          <w:rFonts w:ascii="Arial" w:hAnsi="Arial" w:cs="Arial"/>
        </w:rPr>
      </w:pPr>
      <w:r w:rsidRPr="004455F1">
        <w:rPr>
          <w:rStyle w:val="Refdenotaderodap"/>
          <w:rFonts w:ascii="Arial" w:hAnsi="Arial" w:cs="Arial"/>
        </w:rPr>
        <w:footnoteRef/>
      </w:r>
      <w:r w:rsidRPr="004455F1">
        <w:rPr>
          <w:rFonts w:ascii="Arial" w:hAnsi="Arial" w:cs="Arial"/>
        </w:rPr>
        <w:t xml:space="preserve"> </w:t>
      </w:r>
      <w:r w:rsidR="004455F1" w:rsidRPr="004455F1">
        <w:rPr>
          <w:rFonts w:ascii="Arial" w:hAnsi="Arial" w:cs="Arial"/>
        </w:rPr>
        <w:t xml:space="preserve">Disponível em: </w:t>
      </w:r>
      <w:r w:rsidR="004455F1">
        <w:rPr>
          <w:rFonts w:ascii="Arial" w:hAnsi="Arial" w:cs="Arial"/>
        </w:rPr>
        <w:t>&lt;</w:t>
      </w:r>
      <w:hyperlink r:id="rId3" w:history="1">
        <w:r w:rsidR="004455F1" w:rsidRPr="0026709C">
          <w:rPr>
            <w:rStyle w:val="Hyperlink"/>
            <w:rFonts w:ascii="Arial" w:hAnsi="Arial" w:cs="Arial"/>
          </w:rPr>
          <w:t>https://solucoes.receita.fazenda.gov.br/Servicos/cnpjreva/Cnpjreva_Solicitacao.asp</w:t>
        </w:r>
      </w:hyperlink>
      <w:r w:rsidR="004455F1">
        <w:rPr>
          <w:rFonts w:ascii="Arial" w:hAnsi="Arial" w:cs="Arial"/>
        </w:rPr>
        <w:t>&gt;</w:t>
      </w:r>
      <w:r w:rsidR="004455F1" w:rsidRPr="004455F1">
        <w:rPr>
          <w:rFonts w:ascii="Arial" w:hAnsi="Arial" w:cs="Arial"/>
        </w:rPr>
        <w:t>, acesso em 16 ago. 2024.</w:t>
      </w:r>
    </w:p>
  </w:footnote>
  <w:footnote w:id="6">
    <w:p w14:paraId="69DC90EE" w14:textId="11213B1A" w:rsidR="00FC62C5" w:rsidRPr="00FC62C5" w:rsidRDefault="00FC62C5">
      <w:pPr>
        <w:pStyle w:val="Textodenotaderodap"/>
        <w:rPr>
          <w:rFonts w:ascii="Arial" w:hAnsi="Arial" w:cs="Arial"/>
        </w:rPr>
      </w:pPr>
      <w:r w:rsidRPr="00FC62C5">
        <w:rPr>
          <w:rStyle w:val="Refdenotaderodap"/>
          <w:rFonts w:ascii="Arial" w:hAnsi="Arial" w:cs="Arial"/>
        </w:rPr>
        <w:footnoteRef/>
      </w:r>
      <w:r w:rsidRPr="00FC62C5">
        <w:rPr>
          <w:rFonts w:ascii="Arial" w:hAnsi="Arial" w:cs="Arial"/>
        </w:rPr>
        <w:t xml:space="preserve"> </w:t>
      </w:r>
      <w:r w:rsidR="0010291A">
        <w:rPr>
          <w:rFonts w:ascii="Arial" w:hAnsi="Arial" w:cs="Arial"/>
        </w:rPr>
        <w:t xml:space="preserve">Disponível em: </w:t>
      </w:r>
      <w:hyperlink r:id="rId4" w:history="1">
        <w:r w:rsidRPr="00FC62C5">
          <w:rPr>
            <w:rStyle w:val="Hyperlink"/>
            <w:rFonts w:ascii="Arial" w:hAnsi="Arial" w:cs="Arial"/>
          </w:rPr>
          <w:t>https://coesa.com.br/</w:t>
        </w:r>
      </w:hyperlink>
      <w:r w:rsidRPr="00FC62C5">
        <w:rPr>
          <w:rFonts w:ascii="Arial" w:hAnsi="Arial" w:cs="Arial"/>
        </w:rPr>
        <w:t>, acesso em 12 ago. 2024</w:t>
      </w:r>
    </w:p>
  </w:footnote>
  <w:footnote w:id="7">
    <w:p w14:paraId="26C0DD5C" w14:textId="6E8691E8" w:rsidR="004877FA" w:rsidRPr="007365FB" w:rsidRDefault="004877FA">
      <w:pPr>
        <w:pStyle w:val="Textodenotaderodap"/>
        <w:rPr>
          <w:rFonts w:ascii="Arial" w:hAnsi="Arial" w:cs="Arial"/>
        </w:rPr>
      </w:pPr>
      <w:r w:rsidRPr="007365FB">
        <w:rPr>
          <w:rStyle w:val="Refdenotaderodap"/>
          <w:rFonts w:ascii="Arial" w:hAnsi="Arial" w:cs="Arial"/>
        </w:rPr>
        <w:footnoteRef/>
      </w:r>
      <w:r w:rsidRPr="007365FB">
        <w:rPr>
          <w:rFonts w:ascii="Arial" w:hAnsi="Arial" w:cs="Arial"/>
        </w:rPr>
        <w:t xml:space="preserve"> </w:t>
      </w:r>
      <w:r w:rsidR="0010291A">
        <w:rPr>
          <w:rFonts w:ascii="Arial" w:hAnsi="Arial" w:cs="Arial"/>
        </w:rPr>
        <w:t>Disponível em:</w:t>
      </w:r>
      <w:r w:rsidRPr="007365FB">
        <w:rPr>
          <w:rFonts w:ascii="Arial" w:hAnsi="Arial" w:cs="Arial"/>
        </w:rPr>
        <w:t xml:space="preserve"> </w:t>
      </w:r>
      <w:hyperlink r:id="rId5" w:history="1">
        <w:r w:rsidR="007365FB" w:rsidRPr="007365FB">
          <w:rPr>
            <w:rStyle w:val="Hyperlink"/>
            <w:rFonts w:ascii="Arial" w:hAnsi="Arial" w:cs="Arial"/>
          </w:rPr>
          <w:t>https://methasa.com.br/</w:t>
        </w:r>
      </w:hyperlink>
      <w:r w:rsidR="007365FB" w:rsidRPr="007365FB">
        <w:rPr>
          <w:rFonts w:ascii="Arial" w:hAnsi="Arial" w:cs="Arial"/>
        </w:rPr>
        <w:t>, acesso em 12 ago. 2024</w:t>
      </w:r>
    </w:p>
  </w:footnote>
  <w:footnote w:id="8">
    <w:p w14:paraId="5E1CA1D5" w14:textId="1AA28818" w:rsidR="0010291A" w:rsidRPr="0010291A" w:rsidRDefault="0010291A">
      <w:pPr>
        <w:pStyle w:val="Textodenotaderodap"/>
        <w:rPr>
          <w:rFonts w:ascii="Arial" w:hAnsi="Arial" w:cs="Arial"/>
        </w:rPr>
      </w:pPr>
      <w:r w:rsidRPr="0010291A">
        <w:rPr>
          <w:rStyle w:val="Refdenotaderodap"/>
          <w:rFonts w:ascii="Arial" w:hAnsi="Arial" w:cs="Arial"/>
        </w:rPr>
        <w:footnoteRef/>
      </w:r>
      <w:r w:rsidRPr="0010291A">
        <w:rPr>
          <w:rFonts w:ascii="Arial" w:hAnsi="Arial" w:cs="Arial"/>
        </w:rPr>
        <w:t xml:space="preserve"> Disponível em: </w:t>
      </w:r>
      <w:hyperlink r:id="rId6" w:history="1">
        <w:r w:rsidRPr="0010291A">
          <w:rPr>
            <w:rStyle w:val="Hyperlink"/>
            <w:rFonts w:ascii="Arial" w:hAnsi="Arial" w:cs="Arial"/>
          </w:rPr>
          <w:t>https://estadaori.estadao.com.br/wp-content/uploads/2023/04/coesa-construcao-e-montagens-sa-balanco-2023-04-27_02-01-50.pdf</w:t>
        </w:r>
      </w:hyperlink>
      <w:r w:rsidRPr="0010291A">
        <w:rPr>
          <w:rFonts w:ascii="Arial" w:hAnsi="Arial" w:cs="Arial"/>
        </w:rPr>
        <w:t>, acesso em 12 ago. 2024</w:t>
      </w:r>
    </w:p>
  </w:footnote>
  <w:footnote w:id="9">
    <w:p w14:paraId="74EE74C2" w14:textId="580BCE54" w:rsidR="008912A2" w:rsidRPr="00B52285" w:rsidRDefault="008912A2">
      <w:pPr>
        <w:pStyle w:val="Textodenotaderodap"/>
        <w:rPr>
          <w:rFonts w:ascii="Arial" w:hAnsi="Arial" w:cs="Arial"/>
        </w:rPr>
      </w:pPr>
      <w:r w:rsidRPr="00B52285">
        <w:rPr>
          <w:rStyle w:val="Refdenotaderodap"/>
          <w:rFonts w:ascii="Arial" w:hAnsi="Arial" w:cs="Arial"/>
        </w:rPr>
        <w:footnoteRef/>
      </w:r>
      <w:r w:rsidRPr="00B52285">
        <w:rPr>
          <w:rFonts w:ascii="Arial" w:hAnsi="Arial" w:cs="Arial"/>
        </w:rPr>
        <w:t xml:space="preserve"> </w:t>
      </w:r>
      <w:r w:rsidR="00B52285" w:rsidRPr="00B52285">
        <w:rPr>
          <w:rFonts w:ascii="Arial" w:hAnsi="Arial" w:cs="Arial"/>
        </w:rPr>
        <w:t xml:space="preserve">Disponível em: </w:t>
      </w:r>
      <w:hyperlink r:id="rId7" w:history="1">
        <w:r w:rsidR="00B52285" w:rsidRPr="00B52285">
          <w:rPr>
            <w:rStyle w:val="Hyperlink"/>
            <w:rFonts w:ascii="Arial" w:hAnsi="Arial" w:cs="Arial"/>
          </w:rPr>
          <w:t>https://construtoracamargocorrea.com.br/pt_BR/fornecedores/visualizacao</w:t>
        </w:r>
      </w:hyperlink>
      <w:r w:rsidR="00B52285" w:rsidRPr="00B52285">
        <w:rPr>
          <w:rFonts w:ascii="Arial" w:hAnsi="Arial" w:cs="Arial"/>
        </w:rPr>
        <w:t>, acesso em 12 ago. 2024</w:t>
      </w:r>
    </w:p>
  </w:footnote>
  <w:footnote w:id="10">
    <w:p w14:paraId="5CF1C272" w14:textId="1FFBA65E" w:rsidR="00E72446" w:rsidRPr="00215FF2" w:rsidRDefault="00E72446">
      <w:pPr>
        <w:pStyle w:val="Textodenotaderodap"/>
        <w:rPr>
          <w:rFonts w:ascii="Arial" w:hAnsi="Arial" w:cs="Arial"/>
        </w:rPr>
      </w:pPr>
      <w:r w:rsidRPr="00215FF2">
        <w:rPr>
          <w:rStyle w:val="Refdenotaderodap"/>
          <w:rFonts w:ascii="Arial" w:hAnsi="Arial" w:cs="Arial"/>
        </w:rPr>
        <w:footnoteRef/>
      </w:r>
      <w:r w:rsidRPr="00215FF2">
        <w:rPr>
          <w:rFonts w:ascii="Arial" w:hAnsi="Arial" w:cs="Arial"/>
        </w:rPr>
        <w:t xml:space="preserve"> Conforme pode ser verificado no sítio eletrônico: </w:t>
      </w:r>
      <w:hyperlink r:id="rId8" w:history="1">
        <w:r w:rsidR="00215FF2" w:rsidRPr="00215FF2">
          <w:rPr>
            <w:rStyle w:val="Hyperlink"/>
            <w:rFonts w:ascii="Arial" w:hAnsi="Arial" w:cs="Arial"/>
          </w:rPr>
          <w:t>https://www.construtoracamargocorrea.com.br/pt_BR/demonstracoes-financeiras</w:t>
        </w:r>
      </w:hyperlink>
      <w:r w:rsidR="00215FF2" w:rsidRPr="00215FF2">
        <w:rPr>
          <w:rFonts w:ascii="Arial" w:hAnsi="Arial" w:cs="Arial"/>
        </w:rPr>
        <w:t>, acesso em 12 ago. 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0FE"/>
    <w:multiLevelType w:val="hybridMultilevel"/>
    <w:tmpl w:val="4244B324"/>
    <w:lvl w:ilvl="0" w:tplc="F1749AF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6285A62"/>
    <w:multiLevelType w:val="hybridMultilevel"/>
    <w:tmpl w:val="E0469AD4"/>
    <w:lvl w:ilvl="0" w:tplc="2DDEF8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BB3006C"/>
    <w:multiLevelType w:val="hybridMultilevel"/>
    <w:tmpl w:val="86DC4C66"/>
    <w:lvl w:ilvl="0" w:tplc="FF2E1E8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45EE70A2"/>
    <w:multiLevelType w:val="hybridMultilevel"/>
    <w:tmpl w:val="7A12622A"/>
    <w:lvl w:ilvl="0" w:tplc="86D2CA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7A7D4D5E"/>
    <w:multiLevelType w:val="multilevel"/>
    <w:tmpl w:val="F4FAB3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9C"/>
    <w:rsid w:val="000065C6"/>
    <w:rsid w:val="000116F1"/>
    <w:rsid w:val="000542D1"/>
    <w:rsid w:val="000626C4"/>
    <w:rsid w:val="000675FF"/>
    <w:rsid w:val="00082B0B"/>
    <w:rsid w:val="00083E66"/>
    <w:rsid w:val="00094377"/>
    <w:rsid w:val="000A15F6"/>
    <w:rsid w:val="000A1C1F"/>
    <w:rsid w:val="000B1B42"/>
    <w:rsid w:val="000B31AF"/>
    <w:rsid w:val="000B44D4"/>
    <w:rsid w:val="000C4F5F"/>
    <w:rsid w:val="000E641A"/>
    <w:rsid w:val="000F5F07"/>
    <w:rsid w:val="0010291A"/>
    <w:rsid w:val="00102AED"/>
    <w:rsid w:val="00111E6F"/>
    <w:rsid w:val="00114D4B"/>
    <w:rsid w:val="00123D31"/>
    <w:rsid w:val="0013080F"/>
    <w:rsid w:val="001378EE"/>
    <w:rsid w:val="00137FFD"/>
    <w:rsid w:val="0014250B"/>
    <w:rsid w:val="00151658"/>
    <w:rsid w:val="001520D3"/>
    <w:rsid w:val="00156744"/>
    <w:rsid w:val="001570BF"/>
    <w:rsid w:val="00177754"/>
    <w:rsid w:val="00180CE6"/>
    <w:rsid w:val="0018451B"/>
    <w:rsid w:val="00190CCC"/>
    <w:rsid w:val="00194C44"/>
    <w:rsid w:val="001A1C0D"/>
    <w:rsid w:val="001A1D1D"/>
    <w:rsid w:val="001A74C1"/>
    <w:rsid w:val="001C2D5F"/>
    <w:rsid w:val="001D22B0"/>
    <w:rsid w:val="001D3C46"/>
    <w:rsid w:val="001D43C1"/>
    <w:rsid w:val="001D44DC"/>
    <w:rsid w:val="001E3A27"/>
    <w:rsid w:val="001F1AEB"/>
    <w:rsid w:val="001F3B3E"/>
    <w:rsid w:val="00203CFC"/>
    <w:rsid w:val="00204390"/>
    <w:rsid w:val="0021022D"/>
    <w:rsid w:val="00211118"/>
    <w:rsid w:val="00215FF2"/>
    <w:rsid w:val="002172C4"/>
    <w:rsid w:val="00226413"/>
    <w:rsid w:val="0023544C"/>
    <w:rsid w:val="00242CCB"/>
    <w:rsid w:val="002471F7"/>
    <w:rsid w:val="00252CD2"/>
    <w:rsid w:val="00254D3A"/>
    <w:rsid w:val="0025568C"/>
    <w:rsid w:val="00265D0F"/>
    <w:rsid w:val="00266A8B"/>
    <w:rsid w:val="00283226"/>
    <w:rsid w:val="0028478D"/>
    <w:rsid w:val="002B45E6"/>
    <w:rsid w:val="002C1DC5"/>
    <w:rsid w:val="002C296A"/>
    <w:rsid w:val="002C6255"/>
    <w:rsid w:val="002D053E"/>
    <w:rsid w:val="002D75FF"/>
    <w:rsid w:val="002E706B"/>
    <w:rsid w:val="002F0675"/>
    <w:rsid w:val="00300A00"/>
    <w:rsid w:val="00314FB3"/>
    <w:rsid w:val="00325850"/>
    <w:rsid w:val="00330A8A"/>
    <w:rsid w:val="0033612E"/>
    <w:rsid w:val="00341EF3"/>
    <w:rsid w:val="0035491F"/>
    <w:rsid w:val="00356FBA"/>
    <w:rsid w:val="00361156"/>
    <w:rsid w:val="00376A77"/>
    <w:rsid w:val="00384EB6"/>
    <w:rsid w:val="00386833"/>
    <w:rsid w:val="00387D11"/>
    <w:rsid w:val="003920A2"/>
    <w:rsid w:val="003A46C6"/>
    <w:rsid w:val="003B22A6"/>
    <w:rsid w:val="003B2A70"/>
    <w:rsid w:val="003C752B"/>
    <w:rsid w:val="003D3213"/>
    <w:rsid w:val="003D4635"/>
    <w:rsid w:val="003E2A60"/>
    <w:rsid w:val="003E4455"/>
    <w:rsid w:val="004117EB"/>
    <w:rsid w:val="00412E8A"/>
    <w:rsid w:val="004211BD"/>
    <w:rsid w:val="00432771"/>
    <w:rsid w:val="00432924"/>
    <w:rsid w:val="004455F1"/>
    <w:rsid w:val="0045188C"/>
    <w:rsid w:val="004631DF"/>
    <w:rsid w:val="004645CC"/>
    <w:rsid w:val="004672A4"/>
    <w:rsid w:val="004679E9"/>
    <w:rsid w:val="004809BC"/>
    <w:rsid w:val="00481A07"/>
    <w:rsid w:val="004877FA"/>
    <w:rsid w:val="00494908"/>
    <w:rsid w:val="004A5DEC"/>
    <w:rsid w:val="004B1FAE"/>
    <w:rsid w:val="004B4E8C"/>
    <w:rsid w:val="004C7C81"/>
    <w:rsid w:val="004D0128"/>
    <w:rsid w:val="004D4CAF"/>
    <w:rsid w:val="004F0908"/>
    <w:rsid w:val="004F59C5"/>
    <w:rsid w:val="004F7BFE"/>
    <w:rsid w:val="005064BF"/>
    <w:rsid w:val="005121F8"/>
    <w:rsid w:val="00520CA8"/>
    <w:rsid w:val="00523AA0"/>
    <w:rsid w:val="0052535A"/>
    <w:rsid w:val="00533584"/>
    <w:rsid w:val="00544AA1"/>
    <w:rsid w:val="00545A12"/>
    <w:rsid w:val="005513A4"/>
    <w:rsid w:val="00552BC2"/>
    <w:rsid w:val="005554A3"/>
    <w:rsid w:val="00562F23"/>
    <w:rsid w:val="00565095"/>
    <w:rsid w:val="00575F91"/>
    <w:rsid w:val="00576FD2"/>
    <w:rsid w:val="00583528"/>
    <w:rsid w:val="005843F6"/>
    <w:rsid w:val="005864C7"/>
    <w:rsid w:val="00597C2B"/>
    <w:rsid w:val="005A2D06"/>
    <w:rsid w:val="005A5D21"/>
    <w:rsid w:val="005A69A1"/>
    <w:rsid w:val="005B22D8"/>
    <w:rsid w:val="005B276F"/>
    <w:rsid w:val="005B462C"/>
    <w:rsid w:val="005D58D2"/>
    <w:rsid w:val="005E044F"/>
    <w:rsid w:val="005E50D8"/>
    <w:rsid w:val="005E789D"/>
    <w:rsid w:val="005F0D40"/>
    <w:rsid w:val="005F14DE"/>
    <w:rsid w:val="005F3852"/>
    <w:rsid w:val="005F3D5A"/>
    <w:rsid w:val="005F5EBE"/>
    <w:rsid w:val="0060673D"/>
    <w:rsid w:val="00612A21"/>
    <w:rsid w:val="00612B5F"/>
    <w:rsid w:val="00616889"/>
    <w:rsid w:val="00621D28"/>
    <w:rsid w:val="00634398"/>
    <w:rsid w:val="00652E3A"/>
    <w:rsid w:val="00664EAC"/>
    <w:rsid w:val="00671FB0"/>
    <w:rsid w:val="00675B45"/>
    <w:rsid w:val="00690CA9"/>
    <w:rsid w:val="006918FE"/>
    <w:rsid w:val="006A2F17"/>
    <w:rsid w:val="006A4268"/>
    <w:rsid w:val="006A6942"/>
    <w:rsid w:val="006A6D7C"/>
    <w:rsid w:val="006D37D1"/>
    <w:rsid w:val="006E1E60"/>
    <w:rsid w:val="006F33DA"/>
    <w:rsid w:val="00714868"/>
    <w:rsid w:val="00715A0F"/>
    <w:rsid w:val="007365FB"/>
    <w:rsid w:val="00736E4B"/>
    <w:rsid w:val="0074253B"/>
    <w:rsid w:val="00754F4E"/>
    <w:rsid w:val="0075574E"/>
    <w:rsid w:val="007572C2"/>
    <w:rsid w:val="00761FB8"/>
    <w:rsid w:val="00773DC1"/>
    <w:rsid w:val="00777175"/>
    <w:rsid w:val="007827A4"/>
    <w:rsid w:val="0078780C"/>
    <w:rsid w:val="0079154F"/>
    <w:rsid w:val="007A5587"/>
    <w:rsid w:val="007B3733"/>
    <w:rsid w:val="007B570A"/>
    <w:rsid w:val="007B6342"/>
    <w:rsid w:val="007B653D"/>
    <w:rsid w:val="007C3195"/>
    <w:rsid w:val="007D252F"/>
    <w:rsid w:val="007D4EBE"/>
    <w:rsid w:val="007D6138"/>
    <w:rsid w:val="007E6FF5"/>
    <w:rsid w:val="007E7A46"/>
    <w:rsid w:val="007E7E72"/>
    <w:rsid w:val="008022C0"/>
    <w:rsid w:val="0080459A"/>
    <w:rsid w:val="008112FF"/>
    <w:rsid w:val="00830190"/>
    <w:rsid w:val="008310CD"/>
    <w:rsid w:val="008379FB"/>
    <w:rsid w:val="00847868"/>
    <w:rsid w:val="00863175"/>
    <w:rsid w:val="00863D94"/>
    <w:rsid w:val="00870F05"/>
    <w:rsid w:val="00883A35"/>
    <w:rsid w:val="00886BF6"/>
    <w:rsid w:val="008912A2"/>
    <w:rsid w:val="0089326E"/>
    <w:rsid w:val="008A6530"/>
    <w:rsid w:val="008C459A"/>
    <w:rsid w:val="008C7A6A"/>
    <w:rsid w:val="008D72C1"/>
    <w:rsid w:val="008E624C"/>
    <w:rsid w:val="008E6CCF"/>
    <w:rsid w:val="008F201F"/>
    <w:rsid w:val="008F6523"/>
    <w:rsid w:val="008F7CA8"/>
    <w:rsid w:val="009066EF"/>
    <w:rsid w:val="00913908"/>
    <w:rsid w:val="0091439F"/>
    <w:rsid w:val="009171EE"/>
    <w:rsid w:val="00917DBC"/>
    <w:rsid w:val="00924323"/>
    <w:rsid w:val="009271D2"/>
    <w:rsid w:val="00930140"/>
    <w:rsid w:val="00931713"/>
    <w:rsid w:val="0093452E"/>
    <w:rsid w:val="009365B5"/>
    <w:rsid w:val="00943B3E"/>
    <w:rsid w:val="00943EBC"/>
    <w:rsid w:val="0094768E"/>
    <w:rsid w:val="00951D53"/>
    <w:rsid w:val="00955509"/>
    <w:rsid w:val="00956E45"/>
    <w:rsid w:val="00965212"/>
    <w:rsid w:val="00972EF2"/>
    <w:rsid w:val="00983A90"/>
    <w:rsid w:val="00986675"/>
    <w:rsid w:val="00987AA3"/>
    <w:rsid w:val="009A1237"/>
    <w:rsid w:val="009A38D3"/>
    <w:rsid w:val="009A495E"/>
    <w:rsid w:val="009B6A5A"/>
    <w:rsid w:val="009C48FC"/>
    <w:rsid w:val="009D1CC4"/>
    <w:rsid w:val="009E584A"/>
    <w:rsid w:val="009F1661"/>
    <w:rsid w:val="009F27B9"/>
    <w:rsid w:val="00A01CEA"/>
    <w:rsid w:val="00A06C3B"/>
    <w:rsid w:val="00A2524E"/>
    <w:rsid w:val="00A321E1"/>
    <w:rsid w:val="00A45D46"/>
    <w:rsid w:val="00A5507F"/>
    <w:rsid w:val="00A70CB2"/>
    <w:rsid w:val="00A7344F"/>
    <w:rsid w:val="00A75087"/>
    <w:rsid w:val="00A77860"/>
    <w:rsid w:val="00AA0A6B"/>
    <w:rsid w:val="00AA4A52"/>
    <w:rsid w:val="00AA50DC"/>
    <w:rsid w:val="00AB2592"/>
    <w:rsid w:val="00AC63F4"/>
    <w:rsid w:val="00AD37E9"/>
    <w:rsid w:val="00AD6B2A"/>
    <w:rsid w:val="00AE2BDE"/>
    <w:rsid w:val="00AF19DE"/>
    <w:rsid w:val="00B04A7B"/>
    <w:rsid w:val="00B05523"/>
    <w:rsid w:val="00B13F16"/>
    <w:rsid w:val="00B225D8"/>
    <w:rsid w:val="00B316D8"/>
    <w:rsid w:val="00B36D67"/>
    <w:rsid w:val="00B52285"/>
    <w:rsid w:val="00B624F3"/>
    <w:rsid w:val="00B72D0E"/>
    <w:rsid w:val="00B80E71"/>
    <w:rsid w:val="00B81DDF"/>
    <w:rsid w:val="00B86410"/>
    <w:rsid w:val="00B9099B"/>
    <w:rsid w:val="00B90D35"/>
    <w:rsid w:val="00B97639"/>
    <w:rsid w:val="00BA1030"/>
    <w:rsid w:val="00BA4C56"/>
    <w:rsid w:val="00BC0192"/>
    <w:rsid w:val="00BE388A"/>
    <w:rsid w:val="00BE5380"/>
    <w:rsid w:val="00BE591D"/>
    <w:rsid w:val="00BE766D"/>
    <w:rsid w:val="00BF0251"/>
    <w:rsid w:val="00BF38A6"/>
    <w:rsid w:val="00BF411A"/>
    <w:rsid w:val="00C00D18"/>
    <w:rsid w:val="00C01901"/>
    <w:rsid w:val="00C067F6"/>
    <w:rsid w:val="00C108F1"/>
    <w:rsid w:val="00C12B61"/>
    <w:rsid w:val="00C13DF4"/>
    <w:rsid w:val="00C145F8"/>
    <w:rsid w:val="00C32A89"/>
    <w:rsid w:val="00C364A5"/>
    <w:rsid w:val="00C476C0"/>
    <w:rsid w:val="00C728A5"/>
    <w:rsid w:val="00C73E5A"/>
    <w:rsid w:val="00CB0766"/>
    <w:rsid w:val="00CB16A8"/>
    <w:rsid w:val="00CB198C"/>
    <w:rsid w:val="00CB5662"/>
    <w:rsid w:val="00CB5D68"/>
    <w:rsid w:val="00CC3E4F"/>
    <w:rsid w:val="00CC4938"/>
    <w:rsid w:val="00CD2322"/>
    <w:rsid w:val="00CD32F9"/>
    <w:rsid w:val="00CD7825"/>
    <w:rsid w:val="00CE374F"/>
    <w:rsid w:val="00CF245B"/>
    <w:rsid w:val="00CF5BE3"/>
    <w:rsid w:val="00D124F1"/>
    <w:rsid w:val="00D15C73"/>
    <w:rsid w:val="00D218CA"/>
    <w:rsid w:val="00D226C3"/>
    <w:rsid w:val="00D2304A"/>
    <w:rsid w:val="00D3402E"/>
    <w:rsid w:val="00D53E76"/>
    <w:rsid w:val="00D676DF"/>
    <w:rsid w:val="00D72D1B"/>
    <w:rsid w:val="00D72F5B"/>
    <w:rsid w:val="00D73015"/>
    <w:rsid w:val="00D75036"/>
    <w:rsid w:val="00D764F2"/>
    <w:rsid w:val="00D827F6"/>
    <w:rsid w:val="00D83667"/>
    <w:rsid w:val="00D85889"/>
    <w:rsid w:val="00D874A0"/>
    <w:rsid w:val="00D931F1"/>
    <w:rsid w:val="00D93494"/>
    <w:rsid w:val="00D94B48"/>
    <w:rsid w:val="00DA7B57"/>
    <w:rsid w:val="00DB5D4D"/>
    <w:rsid w:val="00DC3646"/>
    <w:rsid w:val="00DD344A"/>
    <w:rsid w:val="00DD35D5"/>
    <w:rsid w:val="00DD35EF"/>
    <w:rsid w:val="00DD495E"/>
    <w:rsid w:val="00DE01F9"/>
    <w:rsid w:val="00DE09A6"/>
    <w:rsid w:val="00DF1CCC"/>
    <w:rsid w:val="00DF33A6"/>
    <w:rsid w:val="00E01C3F"/>
    <w:rsid w:val="00E02F14"/>
    <w:rsid w:val="00E16D83"/>
    <w:rsid w:val="00E20C5B"/>
    <w:rsid w:val="00E222B8"/>
    <w:rsid w:val="00E25217"/>
    <w:rsid w:val="00E257C4"/>
    <w:rsid w:val="00E3314A"/>
    <w:rsid w:val="00E47CB1"/>
    <w:rsid w:val="00E5255C"/>
    <w:rsid w:val="00E540B1"/>
    <w:rsid w:val="00E562E8"/>
    <w:rsid w:val="00E62C7F"/>
    <w:rsid w:val="00E65FEC"/>
    <w:rsid w:val="00E672FC"/>
    <w:rsid w:val="00E72446"/>
    <w:rsid w:val="00E73184"/>
    <w:rsid w:val="00E80177"/>
    <w:rsid w:val="00E80BDE"/>
    <w:rsid w:val="00E82049"/>
    <w:rsid w:val="00E92869"/>
    <w:rsid w:val="00E95CB0"/>
    <w:rsid w:val="00E95E44"/>
    <w:rsid w:val="00EA3559"/>
    <w:rsid w:val="00EA45F0"/>
    <w:rsid w:val="00EA5E30"/>
    <w:rsid w:val="00EA640A"/>
    <w:rsid w:val="00EA7374"/>
    <w:rsid w:val="00EB5D57"/>
    <w:rsid w:val="00EC4FB7"/>
    <w:rsid w:val="00ED08AD"/>
    <w:rsid w:val="00ED7293"/>
    <w:rsid w:val="00EE526B"/>
    <w:rsid w:val="00EE79E6"/>
    <w:rsid w:val="00F075FA"/>
    <w:rsid w:val="00F17A83"/>
    <w:rsid w:val="00F22E80"/>
    <w:rsid w:val="00F22FC3"/>
    <w:rsid w:val="00F266BA"/>
    <w:rsid w:val="00F32724"/>
    <w:rsid w:val="00F35A14"/>
    <w:rsid w:val="00F40394"/>
    <w:rsid w:val="00F4129B"/>
    <w:rsid w:val="00F465DA"/>
    <w:rsid w:val="00F57251"/>
    <w:rsid w:val="00F71F16"/>
    <w:rsid w:val="00F8090E"/>
    <w:rsid w:val="00F8511E"/>
    <w:rsid w:val="00F94055"/>
    <w:rsid w:val="00FB219C"/>
    <w:rsid w:val="00FB760D"/>
    <w:rsid w:val="00FC62C5"/>
    <w:rsid w:val="00FD622B"/>
    <w:rsid w:val="00FE09EF"/>
    <w:rsid w:val="00FE0F06"/>
    <w:rsid w:val="00FE1B78"/>
    <w:rsid w:val="00FE2479"/>
    <w:rsid w:val="00FE70F8"/>
    <w:rsid w:val="00FF71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B2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FB2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FB21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B21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B21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B21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B21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B21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B219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219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FB219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FB219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B219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B219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B219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B219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B219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B219C"/>
    <w:rPr>
      <w:rFonts w:eastAsiaTheme="majorEastAsia" w:cstheme="majorBidi"/>
      <w:color w:val="272727" w:themeColor="text1" w:themeTint="D8"/>
    </w:rPr>
  </w:style>
  <w:style w:type="paragraph" w:styleId="Ttulo">
    <w:name w:val="Title"/>
    <w:basedOn w:val="Normal"/>
    <w:next w:val="Normal"/>
    <w:link w:val="TtuloChar"/>
    <w:uiPriority w:val="10"/>
    <w:qFormat/>
    <w:rsid w:val="00FB2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B21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B219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B219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B219C"/>
    <w:pPr>
      <w:spacing w:before="160"/>
      <w:jc w:val="center"/>
    </w:pPr>
    <w:rPr>
      <w:i/>
      <w:iCs/>
      <w:color w:val="404040" w:themeColor="text1" w:themeTint="BF"/>
    </w:rPr>
  </w:style>
  <w:style w:type="character" w:customStyle="1" w:styleId="CitaoChar">
    <w:name w:val="Citação Char"/>
    <w:basedOn w:val="Fontepargpadro"/>
    <w:link w:val="Citao"/>
    <w:uiPriority w:val="29"/>
    <w:rsid w:val="00FB219C"/>
    <w:rPr>
      <w:i/>
      <w:iCs/>
      <w:color w:val="404040" w:themeColor="text1" w:themeTint="BF"/>
    </w:rPr>
  </w:style>
  <w:style w:type="paragraph" w:styleId="PargrafodaLista">
    <w:name w:val="List Paragraph"/>
    <w:basedOn w:val="Normal"/>
    <w:uiPriority w:val="34"/>
    <w:qFormat/>
    <w:rsid w:val="00FB219C"/>
    <w:pPr>
      <w:ind w:left="720"/>
      <w:contextualSpacing/>
    </w:pPr>
  </w:style>
  <w:style w:type="character" w:styleId="nfaseIntensa">
    <w:name w:val="Intense Emphasis"/>
    <w:basedOn w:val="Fontepargpadro"/>
    <w:uiPriority w:val="21"/>
    <w:qFormat/>
    <w:rsid w:val="00FB219C"/>
    <w:rPr>
      <w:i/>
      <w:iCs/>
      <w:color w:val="0F4761" w:themeColor="accent1" w:themeShade="BF"/>
    </w:rPr>
  </w:style>
  <w:style w:type="paragraph" w:styleId="CitaoIntensa">
    <w:name w:val="Intense Quote"/>
    <w:basedOn w:val="Normal"/>
    <w:next w:val="Normal"/>
    <w:link w:val="CitaoIntensaChar"/>
    <w:uiPriority w:val="30"/>
    <w:qFormat/>
    <w:rsid w:val="00FB2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B219C"/>
    <w:rPr>
      <w:i/>
      <w:iCs/>
      <w:color w:val="0F4761" w:themeColor="accent1" w:themeShade="BF"/>
    </w:rPr>
  </w:style>
  <w:style w:type="character" w:styleId="RefernciaIntensa">
    <w:name w:val="Intense Reference"/>
    <w:basedOn w:val="Fontepargpadro"/>
    <w:uiPriority w:val="32"/>
    <w:qFormat/>
    <w:rsid w:val="00FB219C"/>
    <w:rPr>
      <w:b/>
      <w:bCs/>
      <w:smallCaps/>
      <w:color w:val="0F4761" w:themeColor="accent1" w:themeShade="BF"/>
      <w:spacing w:val="5"/>
    </w:rPr>
  </w:style>
  <w:style w:type="paragraph" w:styleId="Cabealho">
    <w:name w:val="header"/>
    <w:basedOn w:val="Normal"/>
    <w:link w:val="CabealhoChar"/>
    <w:uiPriority w:val="99"/>
    <w:unhideWhenUsed/>
    <w:rsid w:val="00773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DC1"/>
  </w:style>
  <w:style w:type="paragraph" w:styleId="Rodap">
    <w:name w:val="footer"/>
    <w:basedOn w:val="Normal"/>
    <w:link w:val="RodapChar"/>
    <w:uiPriority w:val="99"/>
    <w:unhideWhenUsed/>
    <w:rsid w:val="00773DC1"/>
    <w:pPr>
      <w:tabs>
        <w:tab w:val="center" w:pos="4252"/>
        <w:tab w:val="right" w:pos="8504"/>
      </w:tabs>
      <w:spacing w:after="0" w:line="240" w:lineRule="auto"/>
    </w:pPr>
  </w:style>
  <w:style w:type="character" w:customStyle="1" w:styleId="RodapChar">
    <w:name w:val="Rodapé Char"/>
    <w:basedOn w:val="Fontepargpadro"/>
    <w:link w:val="Rodap"/>
    <w:uiPriority w:val="99"/>
    <w:rsid w:val="00773DC1"/>
  </w:style>
  <w:style w:type="paragraph" w:customStyle="1" w:styleId="ArtigoFasul">
    <w:name w:val="Artigo Fasul"/>
    <w:basedOn w:val="Normal"/>
    <w:link w:val="ArtigoFasulChar"/>
    <w:qFormat/>
    <w:rsid w:val="001A1C0D"/>
    <w:pPr>
      <w:spacing w:after="0" w:line="360" w:lineRule="auto"/>
      <w:jc w:val="both"/>
    </w:pPr>
    <w:rPr>
      <w:rFonts w:ascii="Arial" w:hAnsi="Arial"/>
      <w:sz w:val="24"/>
    </w:rPr>
  </w:style>
  <w:style w:type="character" w:customStyle="1" w:styleId="ArtigoFasulChar">
    <w:name w:val="Artigo Fasul Char"/>
    <w:basedOn w:val="Fontepargpadro"/>
    <w:link w:val="ArtigoFasul"/>
    <w:rsid w:val="001A1C0D"/>
    <w:rPr>
      <w:rFonts w:ascii="Arial" w:hAnsi="Arial"/>
      <w:sz w:val="24"/>
    </w:rPr>
  </w:style>
  <w:style w:type="paragraph" w:customStyle="1" w:styleId="CitaoFasul">
    <w:name w:val="Citação Fasul"/>
    <w:basedOn w:val="ArtigoFasul"/>
    <w:link w:val="CitaoFasulChar"/>
    <w:qFormat/>
    <w:rsid w:val="001A1C0D"/>
    <w:pPr>
      <w:spacing w:line="240" w:lineRule="auto"/>
    </w:pPr>
    <w:rPr>
      <w:sz w:val="22"/>
    </w:rPr>
  </w:style>
  <w:style w:type="character" w:customStyle="1" w:styleId="CitaoFasulChar">
    <w:name w:val="Citação Fasul Char"/>
    <w:basedOn w:val="ArtigoFasulChar"/>
    <w:link w:val="CitaoFasul"/>
    <w:rsid w:val="001A1C0D"/>
    <w:rPr>
      <w:rFonts w:ascii="Arial" w:hAnsi="Arial"/>
      <w:sz w:val="24"/>
    </w:rPr>
  </w:style>
  <w:style w:type="paragraph" w:styleId="Textodenotaderodap">
    <w:name w:val="footnote text"/>
    <w:basedOn w:val="Normal"/>
    <w:link w:val="TextodenotaderodapChar"/>
    <w:uiPriority w:val="99"/>
    <w:semiHidden/>
    <w:unhideWhenUsed/>
    <w:rsid w:val="001A1C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1C0D"/>
    <w:rPr>
      <w:sz w:val="20"/>
      <w:szCs w:val="20"/>
    </w:rPr>
  </w:style>
  <w:style w:type="character" w:styleId="Refdenotaderodap">
    <w:name w:val="footnote reference"/>
    <w:basedOn w:val="Fontepargpadro"/>
    <w:uiPriority w:val="99"/>
    <w:semiHidden/>
    <w:unhideWhenUsed/>
    <w:rsid w:val="001A1C0D"/>
    <w:rPr>
      <w:vertAlign w:val="superscript"/>
    </w:rPr>
  </w:style>
  <w:style w:type="character" w:styleId="Hyperlink">
    <w:name w:val="Hyperlink"/>
    <w:basedOn w:val="Fontepargpadro"/>
    <w:uiPriority w:val="99"/>
    <w:unhideWhenUsed/>
    <w:rsid w:val="001A74C1"/>
    <w:rPr>
      <w:color w:val="467886" w:themeColor="hyperlink"/>
      <w:u w:val="single"/>
    </w:rPr>
  </w:style>
  <w:style w:type="character" w:customStyle="1" w:styleId="UnresolvedMention">
    <w:name w:val="Unresolved Mention"/>
    <w:basedOn w:val="Fontepargpadro"/>
    <w:uiPriority w:val="99"/>
    <w:semiHidden/>
    <w:unhideWhenUsed/>
    <w:rsid w:val="001A74C1"/>
    <w:rPr>
      <w:color w:val="605E5C"/>
      <w:shd w:val="clear" w:color="auto" w:fill="E1DFDD"/>
    </w:rPr>
  </w:style>
  <w:style w:type="character" w:styleId="HiperlinkVisitado">
    <w:name w:val="FollowedHyperlink"/>
    <w:basedOn w:val="Fontepargpadro"/>
    <w:uiPriority w:val="99"/>
    <w:semiHidden/>
    <w:unhideWhenUsed/>
    <w:rsid w:val="00830190"/>
    <w:rPr>
      <w:color w:val="96607D" w:themeColor="followedHyperlink"/>
      <w:u w:val="single"/>
    </w:rPr>
  </w:style>
  <w:style w:type="paragraph" w:styleId="Legenda">
    <w:name w:val="caption"/>
    <w:basedOn w:val="Normal"/>
    <w:next w:val="Normal"/>
    <w:uiPriority w:val="35"/>
    <w:unhideWhenUsed/>
    <w:qFormat/>
    <w:rsid w:val="00965212"/>
    <w:pPr>
      <w:spacing w:after="200" w:line="240" w:lineRule="auto"/>
    </w:pPr>
    <w:rPr>
      <w:i/>
      <w:iCs/>
      <w:color w:val="0E2841" w:themeColor="text2"/>
      <w:sz w:val="18"/>
      <w:szCs w:val="18"/>
    </w:rPr>
  </w:style>
  <w:style w:type="character" w:styleId="nfase">
    <w:name w:val="Emphasis"/>
    <w:basedOn w:val="Fontepargpadro"/>
    <w:uiPriority w:val="20"/>
    <w:qFormat/>
    <w:rsid w:val="008E6C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B2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FB2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FB21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B21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B21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B21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B21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B21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B219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219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FB219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FB219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B219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B219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B219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B219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B219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B219C"/>
    <w:rPr>
      <w:rFonts w:eastAsiaTheme="majorEastAsia" w:cstheme="majorBidi"/>
      <w:color w:val="272727" w:themeColor="text1" w:themeTint="D8"/>
    </w:rPr>
  </w:style>
  <w:style w:type="paragraph" w:styleId="Ttulo">
    <w:name w:val="Title"/>
    <w:basedOn w:val="Normal"/>
    <w:next w:val="Normal"/>
    <w:link w:val="TtuloChar"/>
    <w:uiPriority w:val="10"/>
    <w:qFormat/>
    <w:rsid w:val="00FB2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B21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B219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B219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B219C"/>
    <w:pPr>
      <w:spacing w:before="160"/>
      <w:jc w:val="center"/>
    </w:pPr>
    <w:rPr>
      <w:i/>
      <w:iCs/>
      <w:color w:val="404040" w:themeColor="text1" w:themeTint="BF"/>
    </w:rPr>
  </w:style>
  <w:style w:type="character" w:customStyle="1" w:styleId="CitaoChar">
    <w:name w:val="Citação Char"/>
    <w:basedOn w:val="Fontepargpadro"/>
    <w:link w:val="Citao"/>
    <w:uiPriority w:val="29"/>
    <w:rsid w:val="00FB219C"/>
    <w:rPr>
      <w:i/>
      <w:iCs/>
      <w:color w:val="404040" w:themeColor="text1" w:themeTint="BF"/>
    </w:rPr>
  </w:style>
  <w:style w:type="paragraph" w:styleId="PargrafodaLista">
    <w:name w:val="List Paragraph"/>
    <w:basedOn w:val="Normal"/>
    <w:uiPriority w:val="34"/>
    <w:qFormat/>
    <w:rsid w:val="00FB219C"/>
    <w:pPr>
      <w:ind w:left="720"/>
      <w:contextualSpacing/>
    </w:pPr>
  </w:style>
  <w:style w:type="character" w:styleId="nfaseIntensa">
    <w:name w:val="Intense Emphasis"/>
    <w:basedOn w:val="Fontepargpadro"/>
    <w:uiPriority w:val="21"/>
    <w:qFormat/>
    <w:rsid w:val="00FB219C"/>
    <w:rPr>
      <w:i/>
      <w:iCs/>
      <w:color w:val="0F4761" w:themeColor="accent1" w:themeShade="BF"/>
    </w:rPr>
  </w:style>
  <w:style w:type="paragraph" w:styleId="CitaoIntensa">
    <w:name w:val="Intense Quote"/>
    <w:basedOn w:val="Normal"/>
    <w:next w:val="Normal"/>
    <w:link w:val="CitaoIntensaChar"/>
    <w:uiPriority w:val="30"/>
    <w:qFormat/>
    <w:rsid w:val="00FB2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B219C"/>
    <w:rPr>
      <w:i/>
      <w:iCs/>
      <w:color w:val="0F4761" w:themeColor="accent1" w:themeShade="BF"/>
    </w:rPr>
  </w:style>
  <w:style w:type="character" w:styleId="RefernciaIntensa">
    <w:name w:val="Intense Reference"/>
    <w:basedOn w:val="Fontepargpadro"/>
    <w:uiPriority w:val="32"/>
    <w:qFormat/>
    <w:rsid w:val="00FB219C"/>
    <w:rPr>
      <w:b/>
      <w:bCs/>
      <w:smallCaps/>
      <w:color w:val="0F4761" w:themeColor="accent1" w:themeShade="BF"/>
      <w:spacing w:val="5"/>
    </w:rPr>
  </w:style>
  <w:style w:type="paragraph" w:styleId="Cabealho">
    <w:name w:val="header"/>
    <w:basedOn w:val="Normal"/>
    <w:link w:val="CabealhoChar"/>
    <w:uiPriority w:val="99"/>
    <w:unhideWhenUsed/>
    <w:rsid w:val="00773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DC1"/>
  </w:style>
  <w:style w:type="paragraph" w:styleId="Rodap">
    <w:name w:val="footer"/>
    <w:basedOn w:val="Normal"/>
    <w:link w:val="RodapChar"/>
    <w:uiPriority w:val="99"/>
    <w:unhideWhenUsed/>
    <w:rsid w:val="00773DC1"/>
    <w:pPr>
      <w:tabs>
        <w:tab w:val="center" w:pos="4252"/>
        <w:tab w:val="right" w:pos="8504"/>
      </w:tabs>
      <w:spacing w:after="0" w:line="240" w:lineRule="auto"/>
    </w:pPr>
  </w:style>
  <w:style w:type="character" w:customStyle="1" w:styleId="RodapChar">
    <w:name w:val="Rodapé Char"/>
    <w:basedOn w:val="Fontepargpadro"/>
    <w:link w:val="Rodap"/>
    <w:uiPriority w:val="99"/>
    <w:rsid w:val="00773DC1"/>
  </w:style>
  <w:style w:type="paragraph" w:customStyle="1" w:styleId="ArtigoFasul">
    <w:name w:val="Artigo Fasul"/>
    <w:basedOn w:val="Normal"/>
    <w:link w:val="ArtigoFasulChar"/>
    <w:qFormat/>
    <w:rsid w:val="001A1C0D"/>
    <w:pPr>
      <w:spacing w:after="0" w:line="360" w:lineRule="auto"/>
      <w:jc w:val="both"/>
    </w:pPr>
    <w:rPr>
      <w:rFonts w:ascii="Arial" w:hAnsi="Arial"/>
      <w:sz w:val="24"/>
    </w:rPr>
  </w:style>
  <w:style w:type="character" w:customStyle="1" w:styleId="ArtigoFasulChar">
    <w:name w:val="Artigo Fasul Char"/>
    <w:basedOn w:val="Fontepargpadro"/>
    <w:link w:val="ArtigoFasul"/>
    <w:rsid w:val="001A1C0D"/>
    <w:rPr>
      <w:rFonts w:ascii="Arial" w:hAnsi="Arial"/>
      <w:sz w:val="24"/>
    </w:rPr>
  </w:style>
  <w:style w:type="paragraph" w:customStyle="1" w:styleId="CitaoFasul">
    <w:name w:val="Citação Fasul"/>
    <w:basedOn w:val="ArtigoFasul"/>
    <w:link w:val="CitaoFasulChar"/>
    <w:qFormat/>
    <w:rsid w:val="001A1C0D"/>
    <w:pPr>
      <w:spacing w:line="240" w:lineRule="auto"/>
    </w:pPr>
    <w:rPr>
      <w:sz w:val="22"/>
    </w:rPr>
  </w:style>
  <w:style w:type="character" w:customStyle="1" w:styleId="CitaoFasulChar">
    <w:name w:val="Citação Fasul Char"/>
    <w:basedOn w:val="ArtigoFasulChar"/>
    <w:link w:val="CitaoFasul"/>
    <w:rsid w:val="001A1C0D"/>
    <w:rPr>
      <w:rFonts w:ascii="Arial" w:hAnsi="Arial"/>
      <w:sz w:val="24"/>
    </w:rPr>
  </w:style>
  <w:style w:type="paragraph" w:styleId="Textodenotaderodap">
    <w:name w:val="footnote text"/>
    <w:basedOn w:val="Normal"/>
    <w:link w:val="TextodenotaderodapChar"/>
    <w:uiPriority w:val="99"/>
    <w:semiHidden/>
    <w:unhideWhenUsed/>
    <w:rsid w:val="001A1C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1C0D"/>
    <w:rPr>
      <w:sz w:val="20"/>
      <w:szCs w:val="20"/>
    </w:rPr>
  </w:style>
  <w:style w:type="character" w:styleId="Refdenotaderodap">
    <w:name w:val="footnote reference"/>
    <w:basedOn w:val="Fontepargpadro"/>
    <w:uiPriority w:val="99"/>
    <w:semiHidden/>
    <w:unhideWhenUsed/>
    <w:rsid w:val="001A1C0D"/>
    <w:rPr>
      <w:vertAlign w:val="superscript"/>
    </w:rPr>
  </w:style>
  <w:style w:type="character" w:styleId="Hyperlink">
    <w:name w:val="Hyperlink"/>
    <w:basedOn w:val="Fontepargpadro"/>
    <w:uiPriority w:val="99"/>
    <w:unhideWhenUsed/>
    <w:rsid w:val="001A74C1"/>
    <w:rPr>
      <w:color w:val="467886" w:themeColor="hyperlink"/>
      <w:u w:val="single"/>
    </w:rPr>
  </w:style>
  <w:style w:type="character" w:customStyle="1" w:styleId="UnresolvedMention">
    <w:name w:val="Unresolved Mention"/>
    <w:basedOn w:val="Fontepargpadro"/>
    <w:uiPriority w:val="99"/>
    <w:semiHidden/>
    <w:unhideWhenUsed/>
    <w:rsid w:val="001A74C1"/>
    <w:rPr>
      <w:color w:val="605E5C"/>
      <w:shd w:val="clear" w:color="auto" w:fill="E1DFDD"/>
    </w:rPr>
  </w:style>
  <w:style w:type="character" w:styleId="HiperlinkVisitado">
    <w:name w:val="FollowedHyperlink"/>
    <w:basedOn w:val="Fontepargpadro"/>
    <w:uiPriority w:val="99"/>
    <w:semiHidden/>
    <w:unhideWhenUsed/>
    <w:rsid w:val="00830190"/>
    <w:rPr>
      <w:color w:val="96607D" w:themeColor="followedHyperlink"/>
      <w:u w:val="single"/>
    </w:rPr>
  </w:style>
  <w:style w:type="paragraph" w:styleId="Legenda">
    <w:name w:val="caption"/>
    <w:basedOn w:val="Normal"/>
    <w:next w:val="Normal"/>
    <w:uiPriority w:val="35"/>
    <w:unhideWhenUsed/>
    <w:qFormat/>
    <w:rsid w:val="00965212"/>
    <w:pPr>
      <w:spacing w:after="200" w:line="240" w:lineRule="auto"/>
    </w:pPr>
    <w:rPr>
      <w:i/>
      <w:iCs/>
      <w:color w:val="0E2841" w:themeColor="text2"/>
      <w:sz w:val="18"/>
      <w:szCs w:val="18"/>
    </w:rPr>
  </w:style>
  <w:style w:type="character" w:styleId="nfase">
    <w:name w:val="Emphasis"/>
    <w:basedOn w:val="Fontepargpadro"/>
    <w:uiPriority w:val="20"/>
    <w:qFormat/>
    <w:rsid w:val="008E6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950368">
      <w:bodyDiv w:val="1"/>
      <w:marLeft w:val="0"/>
      <w:marRight w:val="0"/>
      <w:marTop w:val="0"/>
      <w:marBottom w:val="0"/>
      <w:divBdr>
        <w:top w:val="none" w:sz="0" w:space="0" w:color="auto"/>
        <w:left w:val="none" w:sz="0" w:space="0" w:color="auto"/>
        <w:bottom w:val="none" w:sz="0" w:space="0" w:color="auto"/>
        <w:right w:val="none" w:sz="0" w:space="0" w:color="auto"/>
      </w:divBdr>
    </w:div>
    <w:div w:id="15697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6404consol.htm" TargetMode="External"/><Relationship Id="rId18" Type="http://schemas.openxmlformats.org/officeDocument/2006/relationships/hyperlink" Target="https://revista.tcu.gov.br/ojs/index.php/RTCU/article/view/111/10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portal.tcu.gov.br/lumis/portal/file/fileDownload.jsp?fileId=8A8182A24F0A728E014F0AD690F535ED" TargetMode="External"/><Relationship Id="rId2" Type="http://schemas.openxmlformats.org/officeDocument/2006/relationships/numbering" Target="numbering.xml"/><Relationship Id="rId16" Type="http://schemas.openxmlformats.org/officeDocument/2006/relationships/hyperlink" Target="https://portal.tcu.gov.br/combate-a-corrupcao/tcu-e-a-lava-jato.htm" TargetMode="External"/><Relationship Id="rId20" Type="http://schemas.openxmlformats.org/officeDocument/2006/relationships/hyperlink" Target="https://doi.org/10.1007/978-3-031-12567-6_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pesquisa.apps.tcu.gov.br/redireciona/acordao-completo/ACORDAO-COMPLETO-2336238"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ri.oec-eng.com/demonstracoes-financeiras/" TargetMode="External"/><Relationship Id="rId4" Type="http://schemas.microsoft.com/office/2007/relationships/stylesWithEffects" Target="stylesWithEffects.xml"/><Relationship Id="rId9" Type="http://schemas.openxmlformats.org/officeDocument/2006/relationships/hyperlink" Target="https://divida.apps.tcu.gov.br/calculadora-debito" TargetMode="External"/><Relationship Id="rId14" Type="http://schemas.openxmlformats.org/officeDocument/2006/relationships/hyperlink" Target="https://www.planalto.gov.br/ccivil_03/constituicao/constituicao.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nstrutoracamargocorrea.com.br/pt_BR/demonstracoes-financeiras" TargetMode="External"/><Relationship Id="rId3" Type="http://schemas.openxmlformats.org/officeDocument/2006/relationships/hyperlink" Target="https://solucoes.receita.fazenda.gov.br/Servicos/cnpjreva/Cnpjreva_Solicitacao.asp" TargetMode="External"/><Relationship Id="rId7" Type="http://schemas.openxmlformats.org/officeDocument/2006/relationships/hyperlink" Target="https://construtoracamargocorrea.com.br/pt_BR/fornecedores/visualizacao" TargetMode="External"/><Relationship Id="rId2" Type="http://schemas.openxmlformats.org/officeDocument/2006/relationships/hyperlink" Target="https://pesquisa.apps.tcu.gov.br/pesquisa/integrada" TargetMode="External"/><Relationship Id="rId1" Type="http://schemas.openxmlformats.org/officeDocument/2006/relationships/hyperlink" Target="https://portal.tcu.gov.br/combate-a-corrupcao/tcu-e-a-lava-jato.htm" TargetMode="External"/><Relationship Id="rId6" Type="http://schemas.openxmlformats.org/officeDocument/2006/relationships/hyperlink" Target="https://estadaori.estadao.com.br/wp-content/uploads/2023/04/coesa-construcao-e-montagens-sa-balanco-2023-04-27_02-01-50.pdf" TargetMode="External"/><Relationship Id="rId5" Type="http://schemas.openxmlformats.org/officeDocument/2006/relationships/hyperlink" Target="https://methasa.com.br/" TargetMode="External"/><Relationship Id="rId4" Type="http://schemas.openxmlformats.org/officeDocument/2006/relationships/hyperlink" Target="https://coes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EAC1-A414-4CCB-8858-76BE6E88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4880</Words>
  <Characters>26353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Moreira Ribeiro</dc:creator>
  <cp:lastModifiedBy>Micro</cp:lastModifiedBy>
  <cp:revision>2</cp:revision>
  <cp:lastPrinted>2024-08-15T17:49:00Z</cp:lastPrinted>
  <dcterms:created xsi:type="dcterms:W3CDTF">2024-12-16T19:14:00Z</dcterms:created>
  <dcterms:modified xsi:type="dcterms:W3CDTF">2024-12-16T19:14:00Z</dcterms:modified>
</cp:coreProperties>
</file>