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19DDE" w14:textId="794DEDC8" w:rsidR="00B316D8" w:rsidRPr="001A1C0D" w:rsidRDefault="00254F6E" w:rsidP="00FB219C">
      <w:pPr>
        <w:pStyle w:val="Ttulo1"/>
        <w:jc w:val="both"/>
        <w:rPr>
          <w:rFonts w:ascii="Arial" w:hAnsi="Arial" w:cs="Arial"/>
          <w:color w:val="auto"/>
        </w:rPr>
      </w:pPr>
      <w:r>
        <w:rPr>
          <w:rFonts w:ascii="Arial" w:hAnsi="Arial" w:cs="Arial"/>
          <w:color w:val="auto"/>
        </w:rPr>
        <w:t>A atuação do Tribunal de Contas da União em fiscalizações referentes a p</w:t>
      </w:r>
      <w:r w:rsidR="00E862D5">
        <w:rPr>
          <w:rFonts w:ascii="Arial" w:hAnsi="Arial" w:cs="Arial"/>
          <w:color w:val="auto"/>
        </w:rPr>
        <w:t xml:space="preserve">atologias construtivas em </w:t>
      </w:r>
      <w:r w:rsidR="00ED5CFC">
        <w:rPr>
          <w:rFonts w:ascii="Arial" w:hAnsi="Arial" w:cs="Arial"/>
          <w:color w:val="auto"/>
        </w:rPr>
        <w:t xml:space="preserve">obras </w:t>
      </w:r>
      <w:r w:rsidR="00E862D5">
        <w:rPr>
          <w:rFonts w:ascii="Arial" w:hAnsi="Arial" w:cs="Arial"/>
          <w:color w:val="auto"/>
        </w:rPr>
        <w:t xml:space="preserve">públicas </w:t>
      </w:r>
      <w:r>
        <w:rPr>
          <w:rFonts w:ascii="Arial" w:hAnsi="Arial" w:cs="Arial"/>
          <w:color w:val="auto"/>
        </w:rPr>
        <w:t>federais</w:t>
      </w:r>
    </w:p>
    <w:p w14:paraId="6571426F" w14:textId="77777777" w:rsidR="00FB219C" w:rsidRDefault="00FB219C" w:rsidP="00FB219C"/>
    <w:p w14:paraId="5C63FB0B" w14:textId="3D928105" w:rsidR="00FB219C" w:rsidRDefault="00FB219C" w:rsidP="00FB219C">
      <w:pPr>
        <w:rPr>
          <w:rFonts w:ascii="Arial" w:hAnsi="Arial" w:cs="Arial"/>
          <w:sz w:val="24"/>
          <w:szCs w:val="24"/>
        </w:rPr>
      </w:pPr>
      <w:r>
        <w:rPr>
          <w:rFonts w:ascii="Arial" w:hAnsi="Arial" w:cs="Arial"/>
          <w:sz w:val="24"/>
          <w:szCs w:val="24"/>
        </w:rPr>
        <w:t>Victor Hugo Moreira Ribeiro</w:t>
      </w:r>
      <w:r w:rsidR="001A1C0D">
        <w:rPr>
          <w:rStyle w:val="Refdenotaderodap"/>
          <w:rFonts w:ascii="Arial" w:hAnsi="Arial" w:cs="Arial"/>
          <w:sz w:val="24"/>
          <w:szCs w:val="24"/>
        </w:rPr>
        <w:footnoteReference w:id="2"/>
      </w:r>
    </w:p>
    <w:p w14:paraId="35C830DC" w14:textId="77777777" w:rsidR="00FB219C" w:rsidRDefault="00FB219C" w:rsidP="00FB219C">
      <w:pPr>
        <w:rPr>
          <w:rFonts w:ascii="Arial" w:hAnsi="Arial" w:cs="Arial"/>
          <w:sz w:val="24"/>
          <w:szCs w:val="24"/>
        </w:rPr>
      </w:pPr>
    </w:p>
    <w:p w14:paraId="1C2256A5" w14:textId="34540792" w:rsidR="00FB219C" w:rsidRPr="00AF19DE" w:rsidRDefault="002D75FF" w:rsidP="00FB219C">
      <w:pPr>
        <w:pStyle w:val="Ttulo2"/>
        <w:rPr>
          <w:rFonts w:ascii="Arial" w:hAnsi="Arial" w:cs="Arial"/>
          <w:b/>
          <w:bCs/>
          <w:color w:val="auto"/>
          <w:sz w:val="24"/>
          <w:szCs w:val="24"/>
        </w:rPr>
      </w:pPr>
      <w:r w:rsidRPr="00AF19DE">
        <w:rPr>
          <w:rFonts w:ascii="Arial" w:hAnsi="Arial" w:cs="Arial"/>
          <w:b/>
          <w:bCs/>
          <w:color w:val="auto"/>
          <w:sz w:val="24"/>
          <w:szCs w:val="24"/>
        </w:rPr>
        <w:t>RESUMO</w:t>
      </w:r>
    </w:p>
    <w:p w14:paraId="53A2D905" w14:textId="65D32CF6" w:rsidR="001A1C0D" w:rsidRDefault="002C296A" w:rsidP="00AF19DE">
      <w:pPr>
        <w:pStyle w:val="ArtigoFasul"/>
      </w:pPr>
      <w:r>
        <w:tab/>
      </w:r>
      <w:r w:rsidR="00CD7F76">
        <w:t>As patologias construtivas em obras públicas</w:t>
      </w:r>
      <w:r w:rsidR="00312A31">
        <w:t xml:space="preserve"> representam risco importante de que a obra terá desempenho insuficiente para beneficiar a sociedade. Uma rodovia com falhas construtivas </w:t>
      </w:r>
      <w:r w:rsidR="002022EE">
        <w:t xml:space="preserve">pode representar perdas econômicas consideráveis a toda a sociedade. Uma unidade de saúde com má qualidade construtiva </w:t>
      </w:r>
      <w:r w:rsidR="0091489D">
        <w:t>traz</w:t>
      </w:r>
      <w:r w:rsidR="002022EE">
        <w:t xml:space="preserve"> risco</w:t>
      </w:r>
      <w:r w:rsidR="0091489D">
        <w:t>s</w:t>
      </w:r>
      <w:r w:rsidR="002022EE">
        <w:t xml:space="preserve"> à população. Nesse</w:t>
      </w:r>
      <w:r w:rsidR="00EA45D6">
        <w:t xml:space="preserve"> contexto, o presente trabalho busca colher informações sobre qual tem sido a atuação do Tribunal de Contas da União (TCU) </w:t>
      </w:r>
      <w:r w:rsidR="00D47878">
        <w:t>n</w:t>
      </w:r>
      <w:r w:rsidR="00EA45D6">
        <w:t>a verificação</w:t>
      </w:r>
      <w:r w:rsidR="00D47878">
        <w:t xml:space="preserve"> e propostas de correção</w:t>
      </w:r>
      <w:r w:rsidR="00EA45D6">
        <w:t xml:space="preserve"> de patologias construtivas em obras públicas</w:t>
      </w:r>
      <w:r w:rsidR="00D47878">
        <w:t>, por meio de suas ferramentas de auditoria de obras públicas</w:t>
      </w:r>
      <w:r w:rsidR="00AF19DE">
        <w:t>.</w:t>
      </w:r>
      <w:r w:rsidR="00076A34">
        <w:t xml:space="preserve"> Verificou-se que o TCU vem abordando </w:t>
      </w:r>
      <w:r w:rsidR="00031D16">
        <w:t xml:space="preserve">esse tema em suas fiscalizações ao menos desde 2004, tendo havido evolução e aperfeiçoamento técnico do Tribunal desde então. </w:t>
      </w:r>
      <w:r w:rsidR="00454C2E">
        <w:t>No entanto, o</w:t>
      </w:r>
      <w:r w:rsidR="00031D16">
        <w:t xml:space="preserve">bservou-se também que </w:t>
      </w:r>
      <w:r w:rsidR="00073ACC">
        <w:t>a temática não vem mais sendo rotineiramente objeto de fiscalizações do Tribunal desde 2017.</w:t>
      </w:r>
    </w:p>
    <w:p w14:paraId="35552A79" w14:textId="1A56BAF5" w:rsidR="00FB219C" w:rsidRDefault="00FB219C" w:rsidP="00FB219C">
      <w:pPr>
        <w:rPr>
          <w:rFonts w:ascii="Arial" w:hAnsi="Arial" w:cs="Arial"/>
        </w:rPr>
      </w:pPr>
      <w:r w:rsidRPr="00583528">
        <w:rPr>
          <w:rFonts w:ascii="Arial" w:hAnsi="Arial" w:cs="Arial"/>
          <w:b/>
          <w:bCs/>
        </w:rPr>
        <w:t>Palavras-chave</w:t>
      </w:r>
      <w:r>
        <w:rPr>
          <w:rFonts w:ascii="Arial" w:hAnsi="Arial" w:cs="Arial"/>
        </w:rPr>
        <w:t>:</w:t>
      </w:r>
      <w:r w:rsidR="00583528">
        <w:rPr>
          <w:rFonts w:ascii="Arial" w:hAnsi="Arial" w:cs="Arial"/>
        </w:rPr>
        <w:t xml:space="preserve"> Tribunal de Contas da União;</w:t>
      </w:r>
      <w:r w:rsidR="00CF5BE3">
        <w:rPr>
          <w:rFonts w:ascii="Arial" w:hAnsi="Arial" w:cs="Arial"/>
        </w:rPr>
        <w:t xml:space="preserve"> </w:t>
      </w:r>
      <w:r w:rsidR="009E1FCD">
        <w:rPr>
          <w:rFonts w:ascii="Arial" w:hAnsi="Arial" w:cs="Arial"/>
        </w:rPr>
        <w:t xml:space="preserve">Patologias construtivas; </w:t>
      </w:r>
      <w:r w:rsidR="004527DA">
        <w:rPr>
          <w:rFonts w:ascii="Arial" w:hAnsi="Arial" w:cs="Arial"/>
        </w:rPr>
        <w:t xml:space="preserve">Obras </w:t>
      </w:r>
      <w:r w:rsidR="00CC52C2">
        <w:rPr>
          <w:rFonts w:ascii="Arial" w:hAnsi="Arial" w:cs="Arial"/>
        </w:rPr>
        <w:t>Públicas; Auditoria de Obras públicas</w:t>
      </w:r>
      <w:r w:rsidR="00CF5BE3">
        <w:rPr>
          <w:rFonts w:ascii="Arial" w:hAnsi="Arial" w:cs="Arial"/>
        </w:rPr>
        <w:t>.</w:t>
      </w:r>
    </w:p>
    <w:p w14:paraId="751DC1DF" w14:textId="77777777" w:rsidR="00FB219C" w:rsidRDefault="00FB219C" w:rsidP="00FB219C">
      <w:pPr>
        <w:rPr>
          <w:rFonts w:ascii="Arial" w:hAnsi="Arial" w:cs="Arial"/>
        </w:rPr>
      </w:pPr>
    </w:p>
    <w:p w14:paraId="3B6C7517" w14:textId="594E3BF7" w:rsidR="00FB219C" w:rsidRPr="00AF19DE" w:rsidRDefault="002D75FF" w:rsidP="00FB219C">
      <w:pPr>
        <w:pStyle w:val="Ttulo2"/>
        <w:numPr>
          <w:ilvl w:val="0"/>
          <w:numId w:val="1"/>
        </w:numPr>
        <w:ind w:left="0" w:firstLine="0"/>
        <w:rPr>
          <w:rFonts w:ascii="Arial" w:hAnsi="Arial" w:cs="Arial"/>
          <w:b/>
          <w:bCs/>
          <w:color w:val="auto"/>
          <w:sz w:val="24"/>
          <w:szCs w:val="24"/>
        </w:rPr>
      </w:pPr>
      <w:r w:rsidRPr="00AF19DE">
        <w:rPr>
          <w:rFonts w:ascii="Arial" w:hAnsi="Arial" w:cs="Arial"/>
          <w:b/>
          <w:bCs/>
          <w:color w:val="auto"/>
          <w:sz w:val="24"/>
          <w:szCs w:val="24"/>
        </w:rPr>
        <w:t>INTRODUÇÃO</w:t>
      </w:r>
    </w:p>
    <w:p w14:paraId="3A01E7AC" w14:textId="579AED93" w:rsidR="00386833" w:rsidRDefault="00BE63EA" w:rsidP="00CE374F">
      <w:pPr>
        <w:pStyle w:val="ArtigoFasul"/>
        <w:ind w:firstLine="708"/>
      </w:pPr>
      <w:r>
        <w:t xml:space="preserve">O Tribunal de Contas da União </w:t>
      </w:r>
      <w:r w:rsidR="00812283">
        <w:t xml:space="preserve">(TCU) </w:t>
      </w:r>
      <w:r w:rsidR="00E624E6">
        <w:t xml:space="preserve">é um órgão </w:t>
      </w:r>
      <w:r w:rsidR="00086FFB">
        <w:t>descrito no texto da Constituição Federal de 1988</w:t>
      </w:r>
      <w:r w:rsidR="00E624E6">
        <w:t>, encarregado de</w:t>
      </w:r>
      <w:r w:rsidR="00F34965">
        <w:t>, entre outras atribuições,</w:t>
      </w:r>
      <w:r w:rsidR="00E624E6">
        <w:t xml:space="preserve"> </w:t>
      </w:r>
      <w:r w:rsidR="00EF528F">
        <w:t>“</w:t>
      </w:r>
      <w:r w:rsidR="00E624E6">
        <w:t xml:space="preserve">realizar </w:t>
      </w:r>
      <w:r w:rsidR="002237AB" w:rsidRPr="002237AB">
        <w:t>inspeções e auditorias de natureza contábil, financeira, orçamentária, operacional e patrimonial</w:t>
      </w:r>
      <w:r w:rsidR="00EF528F">
        <w:t xml:space="preserve">” (BRASIL, 1988, p. </w:t>
      </w:r>
      <w:r w:rsidR="007A3487">
        <w:t>47</w:t>
      </w:r>
      <w:r w:rsidR="00735906">
        <w:t>)</w:t>
      </w:r>
      <w:r w:rsidR="00251FC3">
        <w:t xml:space="preserve"> acerca dos recursos públicos da União</w:t>
      </w:r>
      <w:r w:rsidR="00CE374F">
        <w:t>.</w:t>
      </w:r>
    </w:p>
    <w:p w14:paraId="469C8B61" w14:textId="6C49D150" w:rsidR="00812283" w:rsidRDefault="00812283" w:rsidP="00CE374F">
      <w:pPr>
        <w:pStyle w:val="ArtigoFasul"/>
        <w:ind w:firstLine="708"/>
      </w:pPr>
      <w:r>
        <w:lastRenderedPageBreak/>
        <w:t>Portanto</w:t>
      </w:r>
      <w:r w:rsidR="00AA2D0C">
        <w:t>, de acordo com Brasil (1988)</w:t>
      </w:r>
      <w:r>
        <w:t xml:space="preserve">, um dos aspectos abrangidos pelo controle externo promovido pelo </w:t>
      </w:r>
      <w:r w:rsidR="00AA2D0C">
        <w:t xml:space="preserve">Congresso Nacional com o auxílio do TCU é a avaliação sobre o patrimônio </w:t>
      </w:r>
      <w:r w:rsidR="009F545F">
        <w:t xml:space="preserve">federal, o que abarca seus </w:t>
      </w:r>
      <w:r w:rsidR="00251FC3">
        <w:t>bens e</w:t>
      </w:r>
      <w:r w:rsidR="009F545F">
        <w:t xml:space="preserve"> edificações públicos.</w:t>
      </w:r>
    </w:p>
    <w:p w14:paraId="395844F8" w14:textId="475B7F2B" w:rsidR="00FD1A0D" w:rsidRDefault="00FD1A0D" w:rsidP="00CE374F">
      <w:pPr>
        <w:pStyle w:val="ArtigoFasul"/>
        <w:ind w:firstLine="708"/>
      </w:pPr>
      <w:r>
        <w:t>Nesse contexto</w:t>
      </w:r>
      <w:r w:rsidR="00EB005A">
        <w:t>, conforme Brasil (2012)</w:t>
      </w:r>
      <w:r>
        <w:t>, o TC</w:t>
      </w:r>
      <w:r w:rsidR="00EB005A">
        <w:t>U possui uma vertente de atuação relacionada a obras públicas – a denominada auditoria de obras públicas</w:t>
      </w:r>
      <w:r w:rsidR="00D271DC">
        <w:t xml:space="preserve">. </w:t>
      </w:r>
      <w:r w:rsidR="00532F52">
        <w:t>Ainda segundo Brasil (2012), u</w:t>
      </w:r>
      <w:r w:rsidR="00D271DC">
        <w:t>m dos ponto</w:t>
      </w:r>
      <w:r w:rsidR="00D77C0C">
        <w:t>s que</w:t>
      </w:r>
      <w:r w:rsidR="00532F52">
        <w:t xml:space="preserve"> pode</w:t>
      </w:r>
      <w:r w:rsidR="00D77C0C">
        <w:t xml:space="preserve"> comp</w:t>
      </w:r>
      <w:r w:rsidR="00532F52">
        <w:t>or</w:t>
      </w:r>
      <w:r w:rsidR="00D77C0C">
        <w:t xml:space="preserve"> o escopo</w:t>
      </w:r>
      <w:r w:rsidR="00532F52">
        <w:t xml:space="preserve"> da auditoria de obras públicas é justamente a análise e verificação de falhas de qualidade ou a ocorrência de patologias construtivas em obras públicas.</w:t>
      </w:r>
    </w:p>
    <w:p w14:paraId="17F06AEF" w14:textId="4DBF5E76" w:rsidR="00532F52" w:rsidRDefault="006D4066" w:rsidP="00CE374F">
      <w:pPr>
        <w:pStyle w:val="ArtigoFasul"/>
        <w:ind w:firstLine="708"/>
      </w:pPr>
      <w:r>
        <w:t>Vale lembrar que</w:t>
      </w:r>
      <w:r w:rsidR="00AE6923">
        <w:t>, de acordo com Cremonini (1988)</w:t>
      </w:r>
      <w:r w:rsidR="00095A03">
        <w:t>, a</w:t>
      </w:r>
      <w:r>
        <w:t xml:space="preserve"> patologia construtiva </w:t>
      </w:r>
      <w:r w:rsidR="00095A03">
        <w:t xml:space="preserve">ocorre em uma </w:t>
      </w:r>
      <w:r w:rsidR="004527DA">
        <w:t>obra de engenharia</w:t>
      </w:r>
      <w:r w:rsidR="00095A03">
        <w:t xml:space="preserve"> quando </w:t>
      </w:r>
      <w:r w:rsidR="00FE0C0B">
        <w:t>ela tem um desempenho insatisfatório.</w:t>
      </w:r>
      <w:r w:rsidR="0011466B">
        <w:t xml:space="preserve"> A norma técnica ASTM E-635 </w:t>
      </w:r>
      <w:r w:rsidR="0011466B">
        <w:rPr>
          <w:i/>
          <w:iCs/>
        </w:rPr>
        <w:t>apud</w:t>
      </w:r>
      <w:r w:rsidR="0011466B">
        <w:t xml:space="preserve"> Cremonini (1988) igualmente indica que</w:t>
      </w:r>
      <w:r w:rsidR="00FE0C0B">
        <w:t xml:space="preserve"> </w:t>
      </w:r>
      <w:r w:rsidR="0011466B">
        <w:t>a</w:t>
      </w:r>
      <w:r w:rsidR="00696E76">
        <w:t xml:space="preserve"> patologia pode ser causada por </w:t>
      </w:r>
      <w:r w:rsidR="00F7503C">
        <w:t>fatores de degradação</w:t>
      </w:r>
      <w:r w:rsidR="0011466B">
        <w:t xml:space="preserve"> naturais </w:t>
      </w:r>
      <w:r w:rsidR="00DB560F">
        <w:t>ou de</w:t>
      </w:r>
      <w:r w:rsidR="009B4A82">
        <w:t xml:space="preserve">correntes do </w:t>
      </w:r>
      <w:r w:rsidR="00DB560F">
        <w:t>uso da edificação.</w:t>
      </w:r>
    </w:p>
    <w:p w14:paraId="41E9369E" w14:textId="7FF1DC7C" w:rsidR="00566488" w:rsidRDefault="00954926" w:rsidP="00CE374F">
      <w:pPr>
        <w:pStyle w:val="ArtigoFasul"/>
        <w:ind w:firstLine="708"/>
      </w:pPr>
      <w:r>
        <w:t xml:space="preserve">Conforme </w:t>
      </w:r>
      <w:proofErr w:type="spellStart"/>
      <w:r>
        <w:t>Wei</w:t>
      </w:r>
      <w:r w:rsidR="003426C2">
        <w:t>m</w:t>
      </w:r>
      <w:r>
        <w:t>er</w:t>
      </w:r>
      <w:proofErr w:type="spellEnd"/>
      <w:r w:rsidR="003426C2">
        <w:t xml:space="preserve"> (2018), o estudo das patologias construtivas busca avaliar as origens, sintomas e consequências</w:t>
      </w:r>
      <w:r w:rsidR="00430089">
        <w:t xml:space="preserve"> dos defeitos construtivos em obras de engenharia, bem como </w:t>
      </w:r>
      <w:r w:rsidR="00854E89">
        <w:t>identificar causas, isto é, os “mecanismos responsáveis pela ocorrência dos defeitos em construções civis” (WEIMER, 2018, p. 14).</w:t>
      </w:r>
    </w:p>
    <w:p w14:paraId="00BDF4A1" w14:textId="498FEC0E" w:rsidR="003E2712" w:rsidRDefault="003E2712" w:rsidP="00CE374F">
      <w:pPr>
        <w:pStyle w:val="ArtigoFasul"/>
        <w:ind w:firstLine="708"/>
      </w:pPr>
      <w:r>
        <w:t xml:space="preserve">Nesse sentido, segundo Helene </w:t>
      </w:r>
      <w:r>
        <w:rPr>
          <w:i/>
          <w:iCs/>
        </w:rPr>
        <w:t>apud</w:t>
      </w:r>
      <w:r>
        <w:t xml:space="preserve"> </w:t>
      </w:r>
      <w:proofErr w:type="spellStart"/>
      <w:r>
        <w:t>Weimer</w:t>
      </w:r>
      <w:proofErr w:type="spellEnd"/>
      <w:r>
        <w:t xml:space="preserve"> (2018), as manifestações patológicas mais frequentes em edificações são </w:t>
      </w:r>
      <w:r w:rsidR="00547D3F">
        <w:t>“</w:t>
      </w:r>
      <w:r>
        <w:t>as fissuras ou trincas</w:t>
      </w:r>
      <w:r w:rsidR="00547D3F">
        <w:t>, as eflorescências, as deformações ou fle</w:t>
      </w:r>
      <w:r w:rsidR="00C076B6">
        <w:t>ch</w:t>
      </w:r>
      <w:r w:rsidR="00547D3F">
        <w:t>as excessivas, a corrosão de armaduras, os ninhos de concretagem</w:t>
      </w:r>
      <w:r w:rsidR="00BB6533">
        <w:t xml:space="preserve"> (...) </w:t>
      </w:r>
      <w:proofErr w:type="gramStart"/>
      <w:r w:rsidR="00BB6533">
        <w:t>e também</w:t>
      </w:r>
      <w:proofErr w:type="gramEnd"/>
      <w:r w:rsidR="00BB6533">
        <w:t xml:space="preserve"> as manchas em estruturas de concreto” (HELENE, 1988 </w:t>
      </w:r>
      <w:r w:rsidR="00BB6533">
        <w:rPr>
          <w:i/>
          <w:iCs/>
        </w:rPr>
        <w:t>apud</w:t>
      </w:r>
      <w:r w:rsidR="00BB6533">
        <w:t xml:space="preserve"> WEIMER, 2018, p. 15).</w:t>
      </w:r>
    </w:p>
    <w:p w14:paraId="6EC8F8FF" w14:textId="77777777" w:rsidR="006766FF" w:rsidRDefault="006766FF">
      <w:pPr>
        <w:rPr>
          <w:b/>
          <w:bCs/>
        </w:rPr>
      </w:pPr>
      <w:r>
        <w:rPr>
          <w:b/>
          <w:bCs/>
          <w:i/>
          <w:iCs/>
        </w:rPr>
        <w:br w:type="page"/>
      </w:r>
    </w:p>
    <w:p w14:paraId="4A6219EC" w14:textId="7D546606" w:rsidR="00206253" w:rsidRPr="008D1EC6" w:rsidRDefault="006766FF" w:rsidP="006766FF">
      <w:pPr>
        <w:pStyle w:val="Legenda"/>
        <w:jc w:val="center"/>
        <w:rPr>
          <w:rFonts w:ascii="Arial" w:hAnsi="Arial" w:cs="Arial"/>
          <w:i w:val="0"/>
          <w:iCs w:val="0"/>
          <w:color w:val="auto"/>
          <w:sz w:val="24"/>
          <w:szCs w:val="24"/>
        </w:rPr>
      </w:pPr>
      <w:r w:rsidRPr="008D1EC6">
        <w:rPr>
          <w:rFonts w:ascii="Arial" w:hAnsi="Arial" w:cs="Arial"/>
          <w:b/>
          <w:bCs/>
          <w:i w:val="0"/>
          <w:iCs w:val="0"/>
          <w:color w:val="auto"/>
          <w:sz w:val="24"/>
          <w:szCs w:val="24"/>
        </w:rPr>
        <w:lastRenderedPageBreak/>
        <w:t xml:space="preserve">Figura </w:t>
      </w:r>
      <w:r w:rsidRPr="008D1EC6">
        <w:rPr>
          <w:rFonts w:ascii="Arial" w:hAnsi="Arial" w:cs="Arial"/>
          <w:b/>
          <w:bCs/>
          <w:i w:val="0"/>
          <w:iCs w:val="0"/>
          <w:color w:val="auto"/>
          <w:sz w:val="24"/>
          <w:szCs w:val="24"/>
        </w:rPr>
        <w:fldChar w:fldCharType="begin"/>
      </w:r>
      <w:r w:rsidRPr="008D1EC6">
        <w:rPr>
          <w:rFonts w:ascii="Arial" w:hAnsi="Arial" w:cs="Arial"/>
          <w:b/>
          <w:bCs/>
          <w:i w:val="0"/>
          <w:iCs w:val="0"/>
          <w:color w:val="auto"/>
          <w:sz w:val="24"/>
          <w:szCs w:val="24"/>
        </w:rPr>
        <w:instrText xml:space="preserve"> SEQ Figura \* ARABIC </w:instrText>
      </w:r>
      <w:r w:rsidRPr="008D1EC6">
        <w:rPr>
          <w:rFonts w:ascii="Arial" w:hAnsi="Arial" w:cs="Arial"/>
          <w:b/>
          <w:bCs/>
          <w:i w:val="0"/>
          <w:iCs w:val="0"/>
          <w:color w:val="auto"/>
          <w:sz w:val="24"/>
          <w:szCs w:val="24"/>
        </w:rPr>
        <w:fldChar w:fldCharType="separate"/>
      </w:r>
      <w:r w:rsidR="00D232C7">
        <w:rPr>
          <w:rFonts w:ascii="Arial" w:hAnsi="Arial" w:cs="Arial"/>
          <w:b/>
          <w:bCs/>
          <w:i w:val="0"/>
          <w:iCs w:val="0"/>
          <w:noProof/>
          <w:color w:val="auto"/>
          <w:sz w:val="24"/>
          <w:szCs w:val="24"/>
        </w:rPr>
        <w:t>1</w:t>
      </w:r>
      <w:r w:rsidRPr="008D1EC6">
        <w:rPr>
          <w:rFonts w:ascii="Arial" w:hAnsi="Arial" w:cs="Arial"/>
          <w:b/>
          <w:bCs/>
          <w:i w:val="0"/>
          <w:iCs w:val="0"/>
          <w:color w:val="auto"/>
          <w:sz w:val="24"/>
          <w:szCs w:val="24"/>
        </w:rPr>
        <w:fldChar w:fldCharType="end"/>
      </w:r>
      <w:r w:rsidRPr="008D1EC6">
        <w:rPr>
          <w:rFonts w:ascii="Arial" w:hAnsi="Arial" w:cs="Arial"/>
          <w:b/>
          <w:bCs/>
          <w:i w:val="0"/>
          <w:iCs w:val="0"/>
          <w:color w:val="auto"/>
          <w:sz w:val="24"/>
          <w:szCs w:val="24"/>
        </w:rPr>
        <w:t xml:space="preserve"> - </w:t>
      </w:r>
      <w:r w:rsidRPr="008D1EC6">
        <w:rPr>
          <w:rFonts w:ascii="Arial" w:hAnsi="Arial" w:cs="Arial"/>
          <w:i w:val="0"/>
          <w:iCs w:val="0"/>
          <w:color w:val="auto"/>
          <w:sz w:val="24"/>
          <w:szCs w:val="24"/>
        </w:rPr>
        <w:t xml:space="preserve">Exemplo de trinca em uma edificação </w:t>
      </w:r>
    </w:p>
    <w:p w14:paraId="166440E1" w14:textId="77777777" w:rsidR="00920E63" w:rsidRDefault="00920E63" w:rsidP="00920E63">
      <w:pPr>
        <w:pStyle w:val="ArtigoFasul"/>
        <w:keepNext/>
      </w:pPr>
      <w:r>
        <w:rPr>
          <w:noProof/>
        </w:rPr>
        <w:drawing>
          <wp:inline distT="0" distB="0" distL="0" distR="0" wp14:anchorId="1F2D0FEE" wp14:editId="65937B6A">
            <wp:extent cx="5760085" cy="3838575"/>
            <wp:effectExtent l="0" t="0" r="0" b="9525"/>
            <wp:docPr id="1183938365" name="Imagem 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838575"/>
                    </a:xfrm>
                    <a:prstGeom prst="rect">
                      <a:avLst/>
                    </a:prstGeom>
                    <a:noFill/>
                    <a:ln>
                      <a:noFill/>
                    </a:ln>
                  </pic:spPr>
                </pic:pic>
              </a:graphicData>
            </a:graphic>
          </wp:inline>
        </w:drawing>
      </w:r>
    </w:p>
    <w:p w14:paraId="215F11A4" w14:textId="08304D68" w:rsidR="00206253" w:rsidRDefault="006766FF" w:rsidP="00206253">
      <w:pPr>
        <w:pStyle w:val="ArtigoFasul"/>
      </w:pPr>
      <w:r>
        <w:t xml:space="preserve">Fonte: </w:t>
      </w:r>
      <w:r w:rsidR="00697E46">
        <w:t xml:space="preserve">Revista Haus, disponível em: </w:t>
      </w:r>
      <w:hyperlink r:id="rId9" w:history="1">
        <w:r w:rsidR="008D1EC6" w:rsidRPr="000C654C">
          <w:rPr>
            <w:rStyle w:val="Hyperlink"/>
          </w:rPr>
          <w:t>https://revistahaus.com.br/haus/arquitetura/trincas-fissuras-e-rachaduras-saiba-como-identificar-e-resolver-o-problema/</w:t>
        </w:r>
      </w:hyperlink>
      <w:r w:rsidR="00697E46">
        <w:t>, acesso em 7/12/2024.</w:t>
      </w:r>
    </w:p>
    <w:p w14:paraId="059559BD" w14:textId="28116813" w:rsidR="00BB6533" w:rsidRDefault="003C6727" w:rsidP="00CE374F">
      <w:pPr>
        <w:pStyle w:val="ArtigoFasul"/>
        <w:ind w:firstLine="708"/>
      </w:pPr>
      <w:r>
        <w:t>Já nas obras rodoviárias</w:t>
      </w:r>
      <w:r w:rsidR="007D3F7C">
        <w:t xml:space="preserve"> em rodovias de pavimento flexível,</w:t>
      </w:r>
      <w:r w:rsidR="005220A6">
        <w:t xml:space="preserve"> a norma</w:t>
      </w:r>
      <w:r w:rsidR="007D3F7C">
        <w:t xml:space="preserve"> DNIT</w:t>
      </w:r>
      <w:r w:rsidR="005220A6">
        <w:t xml:space="preserve"> 005/2003-TER</w:t>
      </w:r>
      <w:r w:rsidR="007D3F7C">
        <w:t xml:space="preserve"> aponta que </w:t>
      </w:r>
      <w:r w:rsidR="00E66A5C">
        <w:t>“qualquer descontinuidade na superfície do pavimento, que conduza a aberturas de maior ou menor porte</w:t>
      </w:r>
      <w:r w:rsidR="005220A6">
        <w:t>” (DNIT, 2003, p. 2) pode caracterizar uma patologia. Exemplos de falhas no pavimento são: fissuras, trincas, afundamento</w:t>
      </w:r>
      <w:r w:rsidR="00DC7D67">
        <w:t xml:space="preserve"> local ou de trilha de roda</w:t>
      </w:r>
      <w:r w:rsidR="005220A6">
        <w:t>, ondulação ou corrugação, escorregamento, exsudação, desgaste</w:t>
      </w:r>
      <w:r w:rsidR="004A7E55">
        <w:t xml:space="preserve"> e</w:t>
      </w:r>
      <w:r w:rsidR="005220A6">
        <w:t xml:space="preserve"> panelas (ou buracos</w:t>
      </w:r>
      <w:r w:rsidR="004A7E55">
        <w:t>).</w:t>
      </w:r>
    </w:p>
    <w:p w14:paraId="47649550" w14:textId="77777777" w:rsidR="00444876" w:rsidRDefault="00444876">
      <w:pPr>
        <w:rPr>
          <w:rFonts w:ascii="Arial" w:hAnsi="Arial" w:cs="Arial"/>
          <w:b/>
          <w:bCs/>
          <w:sz w:val="24"/>
          <w:szCs w:val="24"/>
        </w:rPr>
      </w:pPr>
      <w:r>
        <w:rPr>
          <w:rFonts w:ascii="Arial" w:hAnsi="Arial" w:cs="Arial"/>
          <w:b/>
          <w:bCs/>
          <w:i/>
          <w:iCs/>
          <w:sz w:val="24"/>
          <w:szCs w:val="24"/>
        </w:rPr>
        <w:br w:type="page"/>
      </w:r>
    </w:p>
    <w:p w14:paraId="44293A15" w14:textId="7B033EB5" w:rsidR="00D232C7" w:rsidRPr="00444876" w:rsidRDefault="00444876" w:rsidP="00444876">
      <w:pPr>
        <w:pStyle w:val="Legenda"/>
        <w:jc w:val="center"/>
        <w:rPr>
          <w:rFonts w:ascii="Arial" w:hAnsi="Arial" w:cs="Arial"/>
          <w:i w:val="0"/>
          <w:iCs w:val="0"/>
          <w:color w:val="auto"/>
          <w:sz w:val="24"/>
          <w:szCs w:val="24"/>
        </w:rPr>
      </w:pPr>
      <w:r w:rsidRPr="00444876">
        <w:rPr>
          <w:rFonts w:ascii="Arial" w:hAnsi="Arial" w:cs="Arial"/>
          <w:b/>
          <w:bCs/>
          <w:i w:val="0"/>
          <w:iCs w:val="0"/>
          <w:color w:val="auto"/>
          <w:sz w:val="24"/>
          <w:szCs w:val="24"/>
        </w:rPr>
        <w:lastRenderedPageBreak/>
        <w:t xml:space="preserve">Figura </w:t>
      </w:r>
      <w:r w:rsidRPr="00444876">
        <w:rPr>
          <w:rFonts w:ascii="Arial" w:hAnsi="Arial" w:cs="Arial"/>
          <w:b/>
          <w:bCs/>
          <w:i w:val="0"/>
          <w:iCs w:val="0"/>
          <w:color w:val="auto"/>
          <w:sz w:val="24"/>
          <w:szCs w:val="24"/>
        </w:rPr>
        <w:fldChar w:fldCharType="begin"/>
      </w:r>
      <w:r w:rsidRPr="00444876">
        <w:rPr>
          <w:rFonts w:ascii="Arial" w:hAnsi="Arial" w:cs="Arial"/>
          <w:b/>
          <w:bCs/>
          <w:i w:val="0"/>
          <w:iCs w:val="0"/>
          <w:color w:val="auto"/>
          <w:sz w:val="24"/>
          <w:szCs w:val="24"/>
        </w:rPr>
        <w:instrText xml:space="preserve"> SEQ Figura \* ARABIC </w:instrText>
      </w:r>
      <w:r w:rsidRPr="00444876">
        <w:rPr>
          <w:rFonts w:ascii="Arial" w:hAnsi="Arial" w:cs="Arial"/>
          <w:b/>
          <w:bCs/>
          <w:i w:val="0"/>
          <w:iCs w:val="0"/>
          <w:color w:val="auto"/>
          <w:sz w:val="24"/>
          <w:szCs w:val="24"/>
        </w:rPr>
        <w:fldChar w:fldCharType="separate"/>
      </w:r>
      <w:r w:rsidRPr="00444876">
        <w:rPr>
          <w:rFonts w:ascii="Arial" w:hAnsi="Arial" w:cs="Arial"/>
          <w:b/>
          <w:bCs/>
          <w:i w:val="0"/>
          <w:iCs w:val="0"/>
          <w:noProof/>
          <w:color w:val="auto"/>
          <w:sz w:val="24"/>
          <w:szCs w:val="24"/>
        </w:rPr>
        <w:t>2</w:t>
      </w:r>
      <w:r w:rsidRPr="00444876">
        <w:rPr>
          <w:rFonts w:ascii="Arial" w:hAnsi="Arial" w:cs="Arial"/>
          <w:b/>
          <w:bCs/>
          <w:i w:val="0"/>
          <w:iCs w:val="0"/>
          <w:color w:val="auto"/>
          <w:sz w:val="24"/>
          <w:szCs w:val="24"/>
        </w:rPr>
        <w:fldChar w:fldCharType="end"/>
      </w:r>
      <w:r w:rsidRPr="00444876">
        <w:rPr>
          <w:rFonts w:ascii="Arial" w:hAnsi="Arial" w:cs="Arial"/>
          <w:i w:val="0"/>
          <w:iCs w:val="0"/>
          <w:color w:val="auto"/>
          <w:sz w:val="24"/>
          <w:szCs w:val="24"/>
        </w:rPr>
        <w:t xml:space="preserve"> - Exemplo de afundamento em trilha de roda</w:t>
      </w:r>
    </w:p>
    <w:p w14:paraId="2B1A3642" w14:textId="77777777" w:rsidR="00D232C7" w:rsidRDefault="00D232C7" w:rsidP="00D232C7">
      <w:pPr>
        <w:pStyle w:val="ArtigoFasul"/>
        <w:keepNext/>
      </w:pPr>
      <w:r w:rsidRPr="00D232C7">
        <w:rPr>
          <w:noProof/>
        </w:rPr>
        <w:drawing>
          <wp:inline distT="0" distB="0" distL="0" distR="0" wp14:anchorId="1D5EB137" wp14:editId="26635383">
            <wp:extent cx="5760085" cy="4258310"/>
            <wp:effectExtent l="0" t="0" r="0" b="8890"/>
            <wp:docPr id="10150181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258310"/>
                    </a:xfrm>
                    <a:prstGeom prst="rect">
                      <a:avLst/>
                    </a:prstGeom>
                    <a:noFill/>
                    <a:ln>
                      <a:noFill/>
                    </a:ln>
                  </pic:spPr>
                </pic:pic>
              </a:graphicData>
            </a:graphic>
          </wp:inline>
        </w:drawing>
      </w:r>
    </w:p>
    <w:p w14:paraId="27353669" w14:textId="4019BE56" w:rsidR="00444876" w:rsidRDefault="00444876" w:rsidP="00D232C7">
      <w:pPr>
        <w:pStyle w:val="ArtigoFasul"/>
        <w:keepNext/>
      </w:pPr>
      <w:r>
        <w:t>Fonte: DNIT, 2003, p. 8</w:t>
      </w:r>
    </w:p>
    <w:p w14:paraId="41CF74BD" w14:textId="191B36CD" w:rsidR="00B7672C" w:rsidRDefault="00A6593F" w:rsidP="00B7672C">
      <w:pPr>
        <w:pStyle w:val="ArtigoFasul"/>
        <w:ind w:firstLine="708"/>
      </w:pPr>
      <w:r>
        <w:t>Quanto aos conceitos envolvidos na análise do desempenho de uma edificação</w:t>
      </w:r>
      <w:r w:rsidR="00EC26FC">
        <w:t xml:space="preserve"> residencial</w:t>
      </w:r>
      <w:r>
        <w:t>, a norma NBR 15575/2013 (ABNT, 2013)</w:t>
      </w:r>
      <w:r w:rsidR="00722BCF">
        <w:t xml:space="preserve"> </w:t>
      </w:r>
      <w:r w:rsidR="00EC26FC">
        <w:t xml:space="preserve">menciona diversos </w:t>
      </w:r>
      <w:r w:rsidR="00B7672C">
        <w:t>requisitos de funcionalidade d</w:t>
      </w:r>
      <w:r w:rsidR="00C840AF">
        <w:t>a edificação</w:t>
      </w:r>
      <w:r w:rsidR="007E246E">
        <w:t>, entre os quais: desempenho estrutural, segurança contra incêndio, segurança no uso e operação, estanqueidade, desempenho térmico</w:t>
      </w:r>
      <w:r w:rsidR="00F158F3">
        <w:t xml:space="preserve"> e</w:t>
      </w:r>
      <w:r w:rsidR="007E246E">
        <w:t xml:space="preserve"> </w:t>
      </w:r>
      <w:r w:rsidR="00F158F3">
        <w:t>desempenho acústico.</w:t>
      </w:r>
    </w:p>
    <w:p w14:paraId="1F8F0E3A" w14:textId="43D58558" w:rsidR="002A74E0" w:rsidRDefault="00853325" w:rsidP="00E05990">
      <w:pPr>
        <w:pStyle w:val="ArtigoFasul"/>
        <w:ind w:firstLine="708"/>
      </w:pPr>
      <w:r>
        <w:t xml:space="preserve">A despeito da a norma técnica em questão não se referir a </w:t>
      </w:r>
      <w:r w:rsidR="00A115BA">
        <w:t>obras</w:t>
      </w:r>
      <w:r>
        <w:t xml:space="preserve"> públicas, </w:t>
      </w:r>
      <w:r w:rsidR="00B008BF">
        <w:t>alguns</w:t>
      </w:r>
      <w:r w:rsidR="008F72D0">
        <w:t xml:space="preserve"> desses requisitos de desempenho são aplicáveis a </w:t>
      </w:r>
      <w:r w:rsidR="00314540">
        <w:t>essa tipologia de obra</w:t>
      </w:r>
      <w:r w:rsidR="00E05990">
        <w:t>, como revela a prática de auditoria de obras públicas do TCU</w:t>
      </w:r>
      <w:r w:rsidR="00AC5599">
        <w:t xml:space="preserve"> (BRASIL, 2014</w:t>
      </w:r>
      <w:r w:rsidR="00315FED">
        <w:t>d</w:t>
      </w:r>
      <w:r w:rsidR="00AC5599">
        <w:t>)</w:t>
      </w:r>
      <w:r w:rsidR="00E05990">
        <w:t>.</w:t>
      </w:r>
    </w:p>
    <w:p w14:paraId="04A6871A" w14:textId="45C15B94" w:rsidR="0065031A" w:rsidRDefault="0065031A" w:rsidP="00E05990">
      <w:pPr>
        <w:pStyle w:val="ArtigoFasul"/>
        <w:ind w:firstLine="708"/>
      </w:pPr>
      <w:r>
        <w:t xml:space="preserve">Cabe destacar que </w:t>
      </w:r>
      <w:r w:rsidR="00E67BB0">
        <w:t xml:space="preserve">ter critérios claros e objetivos de avaliação de desempenho de uma obra é importante para uma adequada avaliação acerca da ocorrência de patologias construtivas </w:t>
      </w:r>
      <w:r w:rsidR="00082BD7">
        <w:t>em obras públicas.</w:t>
      </w:r>
    </w:p>
    <w:p w14:paraId="59FC5613" w14:textId="6FA52600" w:rsidR="005B72E6" w:rsidRDefault="00A776BB" w:rsidP="00E05990">
      <w:pPr>
        <w:pStyle w:val="ArtigoFasul"/>
        <w:ind w:firstLine="708"/>
      </w:pPr>
      <w:r>
        <w:t>Outra tipologia de obra pública relevante para o estudo de patologias construtivas são as rodovias em pavimento flexível.</w:t>
      </w:r>
      <w:r w:rsidR="005E1433">
        <w:t xml:space="preserve"> Nesse caso,</w:t>
      </w:r>
      <w:r w:rsidR="00FE0028">
        <w:t xml:space="preserve"> </w:t>
      </w:r>
      <w:r w:rsidR="00AA7F7B">
        <w:t xml:space="preserve">o Departamento </w:t>
      </w:r>
      <w:r w:rsidR="005E1433">
        <w:t xml:space="preserve">Nacional de Infraestrutura de Transportes (DNIT) publicou, ao longo dos anos, várias </w:t>
      </w:r>
      <w:r w:rsidR="005E1433">
        <w:lastRenderedPageBreak/>
        <w:t>normas técnicas com procedimentos, métodos de ensaio</w:t>
      </w:r>
      <w:r w:rsidR="003317EF">
        <w:t xml:space="preserve"> e critérios de mensuração de ocorrência de patologias.</w:t>
      </w:r>
    </w:p>
    <w:p w14:paraId="4D6C684A" w14:textId="1B91A5F6" w:rsidR="003317EF" w:rsidRDefault="009C78B3" w:rsidP="00E05990">
      <w:pPr>
        <w:pStyle w:val="ArtigoFasul"/>
        <w:ind w:firstLine="708"/>
      </w:pPr>
      <w:r>
        <w:t>Três</w:t>
      </w:r>
      <w:r w:rsidR="00505C3C">
        <w:t xml:space="preserve"> </w:t>
      </w:r>
      <w:r>
        <w:t xml:space="preserve">referências </w:t>
      </w:r>
      <w:r w:rsidR="004030BA">
        <w:t xml:space="preserve">importantes nessa matéria são </w:t>
      </w:r>
      <w:r>
        <w:t>a norma</w:t>
      </w:r>
      <w:r w:rsidR="004030BA">
        <w:t xml:space="preserve"> DNER-ES 169/86 (DNER, 1986), a qual trata do controle de qualidade de levantamento da condição de superfície de pavimentos flexíveis</w:t>
      </w:r>
      <w:r w:rsidR="00A1013C">
        <w:t>; a</w:t>
      </w:r>
      <w:r>
        <w:t xml:space="preserve"> norma</w:t>
      </w:r>
      <w:r w:rsidR="00A1013C">
        <w:t xml:space="preserve"> DNIT 433/2021-PRO (DNIT, 2021), que cuida do método de levantamento do percentual de área trincada e de afundamento de trilha de roda de pavimento asfáltico</w:t>
      </w:r>
      <w:r>
        <w:t>; e o Manual de Restauração de Pavimentos Asfálticos (DNIT, 200</w:t>
      </w:r>
      <w:r w:rsidR="00822C98">
        <w:t>6), no qual</w:t>
      </w:r>
      <w:r w:rsidR="000A5CDB">
        <w:t xml:space="preserve"> são objetivamente estipulados</w:t>
      </w:r>
      <w:r w:rsidR="00822C98">
        <w:t xml:space="preserve"> vários critérios de medição da deterioração do pavimento</w:t>
      </w:r>
      <w:r w:rsidR="000A5CDB">
        <w:t>.</w:t>
      </w:r>
    </w:p>
    <w:p w14:paraId="32D7B101" w14:textId="19AB2448" w:rsidR="00AF34B9" w:rsidRDefault="00AF34B9" w:rsidP="00AF34B9">
      <w:pPr>
        <w:pStyle w:val="ArtigoFasul"/>
        <w:ind w:firstLine="708"/>
      </w:pPr>
      <w:r>
        <w:t xml:space="preserve">Uma questão de pesquisa acerca dessa temática consiste em </w:t>
      </w:r>
      <w:r w:rsidR="00066A85">
        <w:t xml:space="preserve">colher </w:t>
      </w:r>
      <w:r w:rsidR="005B72E6">
        <w:t>informações acerca de</w:t>
      </w:r>
      <w:r w:rsidR="004C0977">
        <w:t xml:space="preserve"> quantas e quais fiscalizações foram feitas pelo TCU que incluíram verificações de ocorrências de patologias construtivas</w:t>
      </w:r>
      <w:r w:rsidR="001D527E">
        <w:t>.</w:t>
      </w:r>
    </w:p>
    <w:p w14:paraId="6ED7BC59" w14:textId="285CDE0D" w:rsidR="009B4A82" w:rsidRDefault="00DB05AD" w:rsidP="00F7187A">
      <w:pPr>
        <w:pStyle w:val="ArtigoFasul"/>
        <w:ind w:firstLine="708"/>
      </w:pPr>
      <w:r>
        <w:t xml:space="preserve">Pesquisar e sistematizar os acórdãos do TCU referentes a patologias construtivas permitirá </w:t>
      </w:r>
      <w:r w:rsidR="00DB413C">
        <w:t xml:space="preserve">avaliar, ainda que de maneira preliminar, quais técnicas de verificação técnica as equipes de auditoria aplicaram e se houve ou não evolução e aprendizagem </w:t>
      </w:r>
      <w:r w:rsidR="00083B24">
        <w:t>sobre ess</w:t>
      </w:r>
      <w:r w:rsidR="003565A8">
        <w:t>a matéria</w:t>
      </w:r>
      <w:r w:rsidR="00EE75DD">
        <w:t>.</w:t>
      </w:r>
      <w:r w:rsidR="00083B24">
        <w:t xml:space="preserve"> A</w:t>
      </w:r>
      <w:r w:rsidR="00B36442">
        <w:t xml:space="preserve"> pesquisa permite ainda observar se </w:t>
      </w:r>
      <w:r w:rsidR="003565A8">
        <w:t>essa</w:t>
      </w:r>
      <w:r w:rsidR="00B36442">
        <w:t xml:space="preserve"> tem</w:t>
      </w:r>
      <w:r w:rsidR="003565A8">
        <w:t>ática</w:t>
      </w:r>
      <w:r w:rsidR="00B36442">
        <w:t xml:space="preserve"> continua sendo abordad</w:t>
      </w:r>
      <w:r w:rsidR="00076A34">
        <w:t>a</w:t>
      </w:r>
      <w:r w:rsidR="00B36442">
        <w:t xml:space="preserve"> ou não pelo Tribunal em suas fiscalizações.</w:t>
      </w:r>
    </w:p>
    <w:p w14:paraId="17EB5B5B" w14:textId="77777777" w:rsidR="005A1CED" w:rsidRDefault="005A1CED" w:rsidP="00CE374F">
      <w:pPr>
        <w:pStyle w:val="ArtigoFasul"/>
        <w:ind w:firstLine="708"/>
      </w:pPr>
    </w:p>
    <w:p w14:paraId="0C290929" w14:textId="66DF7006" w:rsidR="00544AA1" w:rsidRPr="00544AA1" w:rsidRDefault="00E92869" w:rsidP="00544AA1">
      <w:pPr>
        <w:pStyle w:val="Ttulo3"/>
        <w:numPr>
          <w:ilvl w:val="1"/>
          <w:numId w:val="1"/>
        </w:numPr>
        <w:ind w:left="0" w:firstLine="0"/>
        <w:rPr>
          <w:rFonts w:ascii="Arial" w:hAnsi="Arial" w:cs="Arial"/>
          <w:b/>
          <w:bCs/>
          <w:color w:val="auto"/>
          <w:sz w:val="24"/>
          <w:szCs w:val="24"/>
        </w:rPr>
      </w:pPr>
      <w:r w:rsidRPr="009A1237">
        <w:rPr>
          <w:rFonts w:ascii="Arial" w:hAnsi="Arial" w:cs="Arial"/>
          <w:b/>
          <w:bCs/>
          <w:color w:val="auto"/>
          <w:sz w:val="24"/>
          <w:szCs w:val="24"/>
        </w:rPr>
        <w:t>Objetivo</w:t>
      </w:r>
    </w:p>
    <w:p w14:paraId="7EC607A1" w14:textId="21788B43" w:rsidR="00987D3E" w:rsidRDefault="00917DBC" w:rsidP="00DF367A">
      <w:pPr>
        <w:pStyle w:val="ArtigoFasul"/>
        <w:ind w:firstLine="708"/>
      </w:pPr>
      <w:r>
        <w:t xml:space="preserve">Busca-se neste trabalho </w:t>
      </w:r>
      <w:r w:rsidR="00D75EFA">
        <w:t>colher</w:t>
      </w:r>
      <w:r w:rsidR="00552C37">
        <w:t xml:space="preserve"> e apresentar</w:t>
      </w:r>
      <w:r w:rsidR="00D75EFA">
        <w:t xml:space="preserve"> dados sobre </w:t>
      </w:r>
      <w:r w:rsidR="00A30868">
        <w:t>as fiscalizações feitas pelo TCU relacionadas à ocorrência de patologias construtivas em obras públicas, com vistas a analisar</w:t>
      </w:r>
      <w:r w:rsidR="00A536A5">
        <w:t xml:space="preserve"> quais procedimentos foram aplicados pelas equipes técnicas d</w:t>
      </w:r>
      <w:r w:rsidR="00C6347F">
        <w:t>a Corte de Contas e</w:t>
      </w:r>
      <w:r w:rsidR="00A30868">
        <w:t xml:space="preserve"> </w:t>
      </w:r>
      <w:r w:rsidR="00552C37">
        <w:t xml:space="preserve">se </w:t>
      </w:r>
      <w:r w:rsidR="00C6347F">
        <w:t>ess</w:t>
      </w:r>
      <w:r w:rsidR="00552C37">
        <w:t>as equipes aprimoraram</w:t>
      </w:r>
      <w:r w:rsidR="00A536A5">
        <w:t xml:space="preserve"> </w:t>
      </w:r>
      <w:r w:rsidR="00C6347F">
        <w:t>suas técnicas</w:t>
      </w:r>
      <w:r w:rsidR="00A536A5">
        <w:t xml:space="preserve"> ao longo do tempo</w:t>
      </w:r>
      <w:r w:rsidR="00A30868">
        <w:t>.</w:t>
      </w:r>
    </w:p>
    <w:p w14:paraId="7683C69D" w14:textId="66B09CDD" w:rsidR="005513A4" w:rsidRDefault="00C6347F" w:rsidP="00987D3E">
      <w:pPr>
        <w:pStyle w:val="ArtigoFasul"/>
        <w:ind w:firstLine="708"/>
      </w:pPr>
      <w:r>
        <w:t>Ademais, será possível observar se o tema tem sido rotineiramente abordado pelo Tribunal</w:t>
      </w:r>
      <w:r w:rsidR="0087087A">
        <w:t xml:space="preserve"> ou se houve alguma descontinuidade nessa vertente de atuação do Controle Externo.</w:t>
      </w:r>
    </w:p>
    <w:p w14:paraId="57FEE91B" w14:textId="77777777" w:rsidR="00E92869" w:rsidRDefault="00E92869" w:rsidP="00FB219C"/>
    <w:p w14:paraId="7280B0CC" w14:textId="3512C91F" w:rsidR="00FB219C" w:rsidRPr="00AF19DE" w:rsidRDefault="009A1237" w:rsidP="009A1237">
      <w:pPr>
        <w:pStyle w:val="Ttulo2"/>
        <w:numPr>
          <w:ilvl w:val="0"/>
          <w:numId w:val="1"/>
        </w:numPr>
        <w:ind w:left="0" w:firstLine="0"/>
        <w:rPr>
          <w:rFonts w:ascii="Arial" w:hAnsi="Arial" w:cs="Arial"/>
          <w:b/>
          <w:bCs/>
          <w:color w:val="auto"/>
          <w:sz w:val="24"/>
          <w:szCs w:val="24"/>
        </w:rPr>
      </w:pPr>
      <w:r w:rsidRPr="00AF19DE">
        <w:rPr>
          <w:rFonts w:ascii="Arial" w:hAnsi="Arial" w:cs="Arial"/>
          <w:b/>
          <w:bCs/>
          <w:color w:val="auto"/>
          <w:sz w:val="24"/>
          <w:szCs w:val="24"/>
        </w:rPr>
        <w:t>DESENVOLVIMENTO</w:t>
      </w:r>
    </w:p>
    <w:p w14:paraId="2DCC045E" w14:textId="7E870DB9" w:rsidR="00BE5380" w:rsidRPr="00BE5380" w:rsidRDefault="00773DC1" w:rsidP="005513A4">
      <w:pPr>
        <w:pStyle w:val="Ttulo3"/>
        <w:numPr>
          <w:ilvl w:val="1"/>
          <w:numId w:val="1"/>
        </w:numPr>
        <w:ind w:left="0" w:firstLine="0"/>
        <w:rPr>
          <w:rFonts w:ascii="Arial" w:hAnsi="Arial" w:cs="Arial"/>
          <w:b/>
          <w:bCs/>
          <w:color w:val="auto"/>
          <w:sz w:val="24"/>
          <w:szCs w:val="24"/>
        </w:rPr>
      </w:pPr>
      <w:r w:rsidRPr="009A1237">
        <w:rPr>
          <w:rFonts w:ascii="Arial" w:hAnsi="Arial" w:cs="Arial"/>
          <w:b/>
          <w:bCs/>
          <w:color w:val="auto"/>
          <w:sz w:val="24"/>
          <w:szCs w:val="24"/>
        </w:rPr>
        <w:t>Metodologia</w:t>
      </w:r>
    </w:p>
    <w:p w14:paraId="4779B7C0" w14:textId="08CEB46F" w:rsidR="00773289" w:rsidRDefault="00773289" w:rsidP="00BF411A">
      <w:pPr>
        <w:pStyle w:val="ArtigoFasul"/>
        <w:ind w:firstLine="708"/>
      </w:pPr>
      <w:r>
        <w:t>Primeiramente, fez-se uma busca</w:t>
      </w:r>
      <w:r w:rsidR="00D7315A">
        <w:t xml:space="preserve"> em 18/11/2024</w:t>
      </w:r>
      <w:r>
        <w:t xml:space="preserve"> por meio da ferramenta “Pesquisa Integrada” do sítio oficial do TCU</w:t>
      </w:r>
      <w:r>
        <w:rPr>
          <w:rStyle w:val="Refdenotaderodap"/>
        </w:rPr>
        <w:footnoteReference w:id="3"/>
      </w:r>
      <w:r w:rsidR="005076C6">
        <w:t xml:space="preserve"> de quais acórdãos do Tribunal possuiriam </w:t>
      </w:r>
      <w:r w:rsidR="005076C6">
        <w:lastRenderedPageBreak/>
        <w:t>a palavra-chave “patologia construtiva”, tendo sido encontradas as seguintes ocorrências</w:t>
      </w:r>
      <w:r w:rsidR="00E51B09">
        <w:t>:</w:t>
      </w:r>
    </w:p>
    <w:p w14:paraId="6F63E2EA" w14:textId="77777777" w:rsidR="00C067F6" w:rsidRDefault="00C067F6" w:rsidP="00965212">
      <w:pPr>
        <w:pStyle w:val="ArtigoFasul"/>
        <w:ind w:firstLine="708"/>
      </w:pPr>
    </w:p>
    <w:p w14:paraId="2775CFF8" w14:textId="63A485C2" w:rsidR="00965212" w:rsidRPr="00DF1CCC" w:rsidRDefault="00965212" w:rsidP="00DF1CCC">
      <w:pPr>
        <w:pStyle w:val="Legenda"/>
        <w:keepNext/>
        <w:jc w:val="center"/>
        <w:rPr>
          <w:rFonts w:ascii="Arial" w:hAnsi="Arial" w:cs="Arial"/>
          <w:i w:val="0"/>
          <w:iCs w:val="0"/>
          <w:color w:val="auto"/>
          <w:sz w:val="24"/>
          <w:szCs w:val="24"/>
        </w:rPr>
      </w:pPr>
      <w:r w:rsidRPr="00DF1CCC">
        <w:rPr>
          <w:rFonts w:ascii="Arial" w:hAnsi="Arial" w:cs="Arial"/>
          <w:b/>
          <w:bCs/>
          <w:i w:val="0"/>
          <w:iCs w:val="0"/>
          <w:color w:val="auto"/>
          <w:sz w:val="24"/>
          <w:szCs w:val="24"/>
        </w:rPr>
        <w:t xml:space="preserve">Tabela </w:t>
      </w:r>
      <w:r w:rsidRPr="00DF1CCC">
        <w:rPr>
          <w:rFonts w:ascii="Arial" w:hAnsi="Arial" w:cs="Arial"/>
          <w:b/>
          <w:bCs/>
          <w:i w:val="0"/>
          <w:iCs w:val="0"/>
          <w:color w:val="auto"/>
          <w:sz w:val="24"/>
          <w:szCs w:val="24"/>
        </w:rPr>
        <w:fldChar w:fldCharType="begin"/>
      </w:r>
      <w:r w:rsidRPr="00DF1CCC">
        <w:rPr>
          <w:rFonts w:ascii="Arial" w:hAnsi="Arial" w:cs="Arial"/>
          <w:b/>
          <w:bCs/>
          <w:i w:val="0"/>
          <w:iCs w:val="0"/>
          <w:color w:val="auto"/>
          <w:sz w:val="24"/>
          <w:szCs w:val="24"/>
        </w:rPr>
        <w:instrText xml:space="preserve"> SEQ Tabela \* ARABIC </w:instrText>
      </w:r>
      <w:r w:rsidRPr="00DF1CCC">
        <w:rPr>
          <w:rFonts w:ascii="Arial" w:hAnsi="Arial" w:cs="Arial"/>
          <w:b/>
          <w:bCs/>
          <w:i w:val="0"/>
          <w:iCs w:val="0"/>
          <w:color w:val="auto"/>
          <w:sz w:val="24"/>
          <w:szCs w:val="24"/>
        </w:rPr>
        <w:fldChar w:fldCharType="separate"/>
      </w:r>
      <w:r w:rsidR="0094481D">
        <w:rPr>
          <w:rFonts w:ascii="Arial" w:hAnsi="Arial" w:cs="Arial"/>
          <w:b/>
          <w:bCs/>
          <w:i w:val="0"/>
          <w:iCs w:val="0"/>
          <w:noProof/>
          <w:color w:val="auto"/>
          <w:sz w:val="24"/>
          <w:szCs w:val="24"/>
        </w:rPr>
        <w:t>1</w:t>
      </w:r>
      <w:r w:rsidRPr="00DF1CCC">
        <w:rPr>
          <w:rFonts w:ascii="Arial" w:hAnsi="Arial" w:cs="Arial"/>
          <w:b/>
          <w:bCs/>
          <w:i w:val="0"/>
          <w:iCs w:val="0"/>
          <w:color w:val="auto"/>
          <w:sz w:val="24"/>
          <w:szCs w:val="24"/>
        </w:rPr>
        <w:fldChar w:fldCharType="end"/>
      </w:r>
      <w:r w:rsidRPr="00DF1CCC">
        <w:rPr>
          <w:rFonts w:ascii="Arial" w:hAnsi="Arial" w:cs="Arial"/>
          <w:i w:val="0"/>
          <w:iCs w:val="0"/>
          <w:color w:val="auto"/>
          <w:sz w:val="24"/>
          <w:szCs w:val="24"/>
        </w:rPr>
        <w:t xml:space="preserve"> – Acórdãos do TCU</w:t>
      </w:r>
      <w:r w:rsidR="00E73C27">
        <w:rPr>
          <w:rFonts w:ascii="Arial" w:hAnsi="Arial" w:cs="Arial"/>
          <w:i w:val="0"/>
          <w:iCs w:val="0"/>
          <w:color w:val="auto"/>
          <w:sz w:val="24"/>
          <w:szCs w:val="24"/>
        </w:rPr>
        <w:t xml:space="preserve"> relacionados a fiscalizações em obras públicas </w:t>
      </w:r>
      <w:r w:rsidR="003942F3">
        <w:rPr>
          <w:rFonts w:ascii="Arial" w:hAnsi="Arial" w:cs="Arial"/>
          <w:i w:val="0"/>
          <w:iCs w:val="0"/>
          <w:color w:val="auto"/>
          <w:sz w:val="24"/>
          <w:szCs w:val="24"/>
        </w:rPr>
        <w:t>que tenham abordado a ocorrência de</w:t>
      </w:r>
      <w:r w:rsidR="00E73C27">
        <w:rPr>
          <w:rFonts w:ascii="Arial" w:hAnsi="Arial" w:cs="Arial"/>
          <w:i w:val="0"/>
          <w:iCs w:val="0"/>
          <w:color w:val="auto"/>
          <w:sz w:val="24"/>
          <w:szCs w:val="24"/>
        </w:rPr>
        <w:t xml:space="preserve"> patologias construtivas</w:t>
      </w:r>
    </w:p>
    <w:tbl>
      <w:tblPr>
        <w:tblW w:w="9101" w:type="dxa"/>
        <w:tblCellMar>
          <w:left w:w="70" w:type="dxa"/>
          <w:right w:w="70" w:type="dxa"/>
        </w:tblCellMar>
        <w:tblLook w:val="04A0" w:firstRow="1" w:lastRow="0" w:firstColumn="1" w:lastColumn="0" w:noHBand="0" w:noVBand="1"/>
      </w:tblPr>
      <w:tblGrid>
        <w:gridCol w:w="1355"/>
        <w:gridCol w:w="3181"/>
        <w:gridCol w:w="2410"/>
        <w:gridCol w:w="2155"/>
      </w:tblGrid>
      <w:tr w:rsidR="00E3563C" w:rsidRPr="004F0908" w14:paraId="6083A6F0" w14:textId="77777777" w:rsidTr="00DA24CF">
        <w:trPr>
          <w:trHeight w:val="300"/>
          <w:tblHeader/>
        </w:trPr>
        <w:tc>
          <w:tcPr>
            <w:tcW w:w="1355" w:type="dxa"/>
            <w:tcBorders>
              <w:top w:val="single" w:sz="4" w:space="0" w:color="auto"/>
              <w:bottom w:val="single" w:sz="4" w:space="0" w:color="auto"/>
              <w:right w:val="single" w:sz="4" w:space="0" w:color="auto"/>
            </w:tcBorders>
            <w:shd w:val="clear" w:color="auto" w:fill="auto"/>
            <w:noWrap/>
            <w:vAlign w:val="center"/>
            <w:hideMark/>
          </w:tcPr>
          <w:p w14:paraId="7C8DF70D" w14:textId="77777777" w:rsidR="00E3563C" w:rsidRPr="004F0908" w:rsidRDefault="00E3563C" w:rsidP="004F0908">
            <w:pPr>
              <w:spacing w:after="0" w:line="240" w:lineRule="auto"/>
              <w:jc w:val="center"/>
              <w:rPr>
                <w:rFonts w:ascii="Arial" w:eastAsia="Times New Roman" w:hAnsi="Arial" w:cs="Arial"/>
                <w:b/>
                <w:bCs/>
                <w:color w:val="000000"/>
                <w:kern w:val="0"/>
                <w:sz w:val="24"/>
                <w:szCs w:val="24"/>
                <w:lang w:eastAsia="pt-BR"/>
                <w14:ligatures w14:val="none"/>
              </w:rPr>
            </w:pPr>
            <w:r w:rsidRPr="004F0908">
              <w:rPr>
                <w:rFonts w:ascii="Arial" w:eastAsia="Times New Roman" w:hAnsi="Arial" w:cs="Arial"/>
                <w:b/>
                <w:bCs/>
                <w:color w:val="000000"/>
                <w:kern w:val="0"/>
                <w:sz w:val="24"/>
                <w:szCs w:val="24"/>
                <w:lang w:eastAsia="pt-BR"/>
                <w14:ligatures w14:val="none"/>
              </w:rPr>
              <w:t>Acórdãos</w:t>
            </w:r>
          </w:p>
        </w:tc>
        <w:tc>
          <w:tcPr>
            <w:tcW w:w="3181" w:type="dxa"/>
            <w:tcBorders>
              <w:top w:val="single" w:sz="4" w:space="0" w:color="auto"/>
              <w:left w:val="nil"/>
              <w:bottom w:val="single" w:sz="4" w:space="0" w:color="auto"/>
              <w:right w:val="single" w:sz="4" w:space="0" w:color="auto"/>
            </w:tcBorders>
            <w:shd w:val="clear" w:color="auto" w:fill="auto"/>
            <w:noWrap/>
            <w:vAlign w:val="center"/>
            <w:hideMark/>
          </w:tcPr>
          <w:p w14:paraId="6D4BB45E" w14:textId="6067029D" w:rsidR="00E3563C" w:rsidRPr="004F0908" w:rsidRDefault="00E3563C" w:rsidP="004F0908">
            <w:pPr>
              <w:spacing w:after="0" w:line="240" w:lineRule="auto"/>
              <w:jc w:val="center"/>
              <w:rPr>
                <w:rFonts w:ascii="Arial" w:eastAsia="Times New Roman" w:hAnsi="Arial" w:cs="Arial"/>
                <w:b/>
                <w:bCs/>
                <w:color w:val="000000"/>
                <w:kern w:val="0"/>
                <w:sz w:val="24"/>
                <w:szCs w:val="24"/>
                <w:lang w:eastAsia="pt-BR"/>
                <w14:ligatures w14:val="none"/>
              </w:rPr>
            </w:pPr>
            <w:r>
              <w:rPr>
                <w:rFonts w:ascii="Arial" w:eastAsia="Times New Roman" w:hAnsi="Arial" w:cs="Arial"/>
                <w:b/>
                <w:bCs/>
                <w:color w:val="000000"/>
                <w:kern w:val="0"/>
                <w:sz w:val="24"/>
                <w:szCs w:val="24"/>
                <w:lang w:eastAsia="pt-BR"/>
                <w14:ligatures w14:val="none"/>
              </w:rPr>
              <w:t>Assunto</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0C5363BA" w14:textId="4315CCEC" w:rsidR="00E3563C" w:rsidRPr="004F0908" w:rsidRDefault="00E3563C" w:rsidP="00E2159C">
            <w:pPr>
              <w:spacing w:after="0" w:line="240" w:lineRule="auto"/>
              <w:jc w:val="center"/>
              <w:rPr>
                <w:rFonts w:ascii="Arial" w:eastAsia="Times New Roman" w:hAnsi="Arial" w:cs="Arial"/>
                <w:b/>
                <w:bCs/>
                <w:color w:val="000000"/>
                <w:kern w:val="0"/>
                <w:sz w:val="24"/>
                <w:szCs w:val="24"/>
                <w:lang w:eastAsia="pt-BR"/>
                <w14:ligatures w14:val="none"/>
              </w:rPr>
            </w:pPr>
            <w:r>
              <w:rPr>
                <w:rFonts w:ascii="Arial" w:eastAsia="Times New Roman" w:hAnsi="Arial" w:cs="Arial"/>
                <w:b/>
                <w:bCs/>
                <w:color w:val="000000"/>
                <w:kern w:val="0"/>
                <w:sz w:val="24"/>
                <w:szCs w:val="24"/>
                <w:lang w:eastAsia="pt-BR"/>
                <w14:ligatures w14:val="none"/>
              </w:rPr>
              <w:t xml:space="preserve">Tipo de </w:t>
            </w:r>
            <w:r w:rsidR="00A115BA">
              <w:rPr>
                <w:rFonts w:ascii="Arial" w:eastAsia="Times New Roman" w:hAnsi="Arial" w:cs="Arial"/>
                <w:b/>
                <w:bCs/>
                <w:color w:val="000000"/>
                <w:kern w:val="0"/>
                <w:sz w:val="24"/>
                <w:szCs w:val="24"/>
                <w:lang w:eastAsia="pt-BR"/>
                <w14:ligatures w14:val="none"/>
              </w:rPr>
              <w:t>obra</w:t>
            </w:r>
            <w:r>
              <w:rPr>
                <w:rFonts w:ascii="Arial" w:eastAsia="Times New Roman" w:hAnsi="Arial" w:cs="Arial"/>
                <w:b/>
                <w:bCs/>
                <w:color w:val="000000"/>
                <w:kern w:val="0"/>
                <w:sz w:val="24"/>
                <w:szCs w:val="24"/>
                <w:lang w:eastAsia="pt-BR"/>
                <w14:ligatures w14:val="none"/>
              </w:rPr>
              <w:t xml:space="preserve"> pública avaliada</w:t>
            </w:r>
          </w:p>
        </w:tc>
        <w:tc>
          <w:tcPr>
            <w:tcW w:w="2155" w:type="dxa"/>
            <w:tcBorders>
              <w:top w:val="single" w:sz="4" w:space="0" w:color="auto"/>
              <w:left w:val="nil"/>
              <w:bottom w:val="single" w:sz="4" w:space="0" w:color="auto"/>
            </w:tcBorders>
            <w:shd w:val="clear" w:color="auto" w:fill="auto"/>
            <w:noWrap/>
            <w:vAlign w:val="center"/>
            <w:hideMark/>
          </w:tcPr>
          <w:p w14:paraId="18CC046E" w14:textId="20FAA8EE" w:rsidR="00E3563C" w:rsidRPr="004F0908" w:rsidRDefault="00E3563C" w:rsidP="004F0908">
            <w:pPr>
              <w:spacing w:after="0" w:line="240" w:lineRule="auto"/>
              <w:jc w:val="center"/>
              <w:rPr>
                <w:rFonts w:ascii="Arial" w:eastAsia="Times New Roman" w:hAnsi="Arial" w:cs="Arial"/>
                <w:b/>
                <w:bCs/>
                <w:color w:val="000000"/>
                <w:kern w:val="0"/>
                <w:sz w:val="24"/>
                <w:szCs w:val="24"/>
                <w:vertAlign w:val="superscript"/>
                <w:lang w:eastAsia="pt-BR"/>
                <w14:ligatures w14:val="none"/>
              </w:rPr>
            </w:pPr>
            <w:r>
              <w:rPr>
                <w:rFonts w:ascii="Arial" w:eastAsia="Times New Roman" w:hAnsi="Arial" w:cs="Arial"/>
                <w:b/>
                <w:bCs/>
                <w:color w:val="000000"/>
                <w:kern w:val="0"/>
                <w:sz w:val="24"/>
                <w:szCs w:val="24"/>
                <w:lang w:eastAsia="pt-BR"/>
                <w14:ligatures w14:val="none"/>
              </w:rPr>
              <w:t>Patologias detectadas</w:t>
            </w:r>
          </w:p>
        </w:tc>
      </w:tr>
      <w:tr w:rsidR="00E3563C" w:rsidRPr="004F0908" w14:paraId="4A607B8D" w14:textId="77777777" w:rsidTr="00DA24CF">
        <w:trPr>
          <w:trHeight w:val="900"/>
        </w:trPr>
        <w:tc>
          <w:tcPr>
            <w:tcW w:w="1355" w:type="dxa"/>
            <w:tcBorders>
              <w:top w:val="single" w:sz="4" w:space="0" w:color="auto"/>
              <w:bottom w:val="single" w:sz="4" w:space="0" w:color="auto"/>
              <w:right w:val="single" w:sz="4" w:space="0" w:color="auto"/>
            </w:tcBorders>
            <w:shd w:val="clear" w:color="auto" w:fill="auto"/>
            <w:noWrap/>
            <w:vAlign w:val="center"/>
            <w:hideMark/>
          </w:tcPr>
          <w:p w14:paraId="35A83BF3" w14:textId="7548C0C2"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2290/2017-TCU-Plenário</w:t>
            </w:r>
          </w:p>
        </w:tc>
        <w:tc>
          <w:tcPr>
            <w:tcW w:w="3181" w:type="dxa"/>
            <w:tcBorders>
              <w:top w:val="nil"/>
              <w:left w:val="nil"/>
              <w:bottom w:val="single" w:sz="4" w:space="0" w:color="auto"/>
              <w:right w:val="single" w:sz="4" w:space="0" w:color="auto"/>
            </w:tcBorders>
            <w:shd w:val="clear" w:color="auto" w:fill="auto"/>
            <w:vAlign w:val="center"/>
            <w:hideMark/>
          </w:tcPr>
          <w:p w14:paraId="1210AF4C" w14:textId="2E06A0CB"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Auditoria com o objetivo de verificar a conformidade da execução de obras de construção de Unidades de Pronto Atendimento (UPA) no estado do Rio de Janeiro</w:t>
            </w:r>
          </w:p>
        </w:tc>
        <w:tc>
          <w:tcPr>
            <w:tcW w:w="2410" w:type="dxa"/>
            <w:tcBorders>
              <w:top w:val="nil"/>
              <w:left w:val="nil"/>
              <w:bottom w:val="single" w:sz="4" w:space="0" w:color="auto"/>
              <w:right w:val="single" w:sz="4" w:space="0" w:color="auto"/>
            </w:tcBorders>
            <w:shd w:val="clear" w:color="auto" w:fill="auto"/>
            <w:noWrap/>
            <w:vAlign w:val="center"/>
            <w:hideMark/>
          </w:tcPr>
          <w:p w14:paraId="2521BE2B" w14:textId="1C1ED047"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Unidades de saúde</w:t>
            </w:r>
            <w:r w:rsidR="00633264">
              <w:rPr>
                <w:rFonts w:ascii="Arial" w:eastAsia="Times New Roman" w:hAnsi="Arial" w:cs="Arial"/>
                <w:color w:val="000000"/>
                <w:kern w:val="0"/>
                <w:sz w:val="24"/>
                <w:szCs w:val="24"/>
                <w:lang w:eastAsia="pt-BR"/>
                <w14:ligatures w14:val="none"/>
              </w:rPr>
              <w:t xml:space="preserve"> em estrutura metálica </w:t>
            </w:r>
            <w:r w:rsidR="001F3567">
              <w:rPr>
                <w:rFonts w:ascii="Arial" w:eastAsia="Times New Roman" w:hAnsi="Arial" w:cs="Arial"/>
                <w:color w:val="000000"/>
                <w:kern w:val="0"/>
                <w:sz w:val="24"/>
                <w:szCs w:val="24"/>
                <w:lang w:eastAsia="pt-BR"/>
                <w14:ligatures w14:val="none"/>
              </w:rPr>
              <w:t>e elementos de vedação em poliestireno expandido (EPS)</w:t>
            </w:r>
          </w:p>
        </w:tc>
        <w:tc>
          <w:tcPr>
            <w:tcW w:w="2155" w:type="dxa"/>
            <w:tcBorders>
              <w:top w:val="single" w:sz="4" w:space="0" w:color="auto"/>
              <w:left w:val="nil"/>
              <w:bottom w:val="single" w:sz="4" w:space="0" w:color="auto"/>
            </w:tcBorders>
            <w:shd w:val="clear" w:color="auto" w:fill="auto"/>
            <w:noWrap/>
            <w:vAlign w:val="center"/>
            <w:hideMark/>
          </w:tcPr>
          <w:p w14:paraId="051C6F55" w14:textId="25E30CB7" w:rsidR="00181FE0" w:rsidRDefault="00181FE0"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Descolamento de forro</w:t>
            </w:r>
            <w:r w:rsidR="00082BD7">
              <w:rPr>
                <w:rFonts w:ascii="Arial" w:eastAsia="Times New Roman" w:hAnsi="Arial" w:cs="Arial"/>
                <w:color w:val="000000"/>
                <w:kern w:val="0"/>
                <w:sz w:val="24"/>
                <w:szCs w:val="24"/>
                <w:lang w:eastAsia="pt-BR"/>
                <w14:ligatures w14:val="none"/>
              </w:rPr>
              <w:t>;</w:t>
            </w:r>
          </w:p>
          <w:p w14:paraId="061E0718" w14:textId="126B9B0E" w:rsidR="00181FE0" w:rsidRDefault="00AA2A74"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Falta de estanqueidade do piso</w:t>
            </w:r>
            <w:r w:rsidR="00082BD7">
              <w:rPr>
                <w:rFonts w:ascii="Arial" w:eastAsia="Times New Roman" w:hAnsi="Arial" w:cs="Arial"/>
                <w:color w:val="000000"/>
                <w:kern w:val="0"/>
                <w:sz w:val="24"/>
                <w:szCs w:val="24"/>
                <w:lang w:eastAsia="pt-BR"/>
                <w14:ligatures w14:val="none"/>
              </w:rPr>
              <w:t>;</w:t>
            </w:r>
          </w:p>
          <w:p w14:paraId="1DF630D9" w14:textId="45282201" w:rsidR="00AA2A74" w:rsidRPr="004F0908" w:rsidRDefault="0021675F"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Piso com sinais de afundamento</w:t>
            </w:r>
            <w:r w:rsidR="00082BD7">
              <w:rPr>
                <w:rFonts w:ascii="Arial" w:eastAsia="Times New Roman" w:hAnsi="Arial" w:cs="Arial"/>
                <w:color w:val="000000"/>
                <w:kern w:val="0"/>
                <w:sz w:val="24"/>
                <w:szCs w:val="24"/>
                <w:lang w:eastAsia="pt-BR"/>
                <w14:ligatures w14:val="none"/>
              </w:rPr>
              <w:t>.</w:t>
            </w:r>
          </w:p>
        </w:tc>
      </w:tr>
      <w:tr w:rsidR="00E3563C" w:rsidRPr="004F0908" w14:paraId="5DE03FBB" w14:textId="77777777" w:rsidTr="00DA24CF">
        <w:trPr>
          <w:trHeight w:val="900"/>
        </w:trPr>
        <w:tc>
          <w:tcPr>
            <w:tcW w:w="1355" w:type="dxa"/>
            <w:tcBorders>
              <w:top w:val="single" w:sz="4" w:space="0" w:color="auto"/>
              <w:bottom w:val="single" w:sz="4" w:space="0" w:color="auto"/>
              <w:right w:val="single" w:sz="4" w:space="0" w:color="auto"/>
            </w:tcBorders>
            <w:shd w:val="clear" w:color="auto" w:fill="auto"/>
            <w:noWrap/>
            <w:vAlign w:val="center"/>
          </w:tcPr>
          <w:p w14:paraId="6155D764" w14:textId="5EC145BE" w:rsidR="00E3563C" w:rsidRDefault="00E3563C" w:rsidP="00435224">
            <w:pPr>
              <w:spacing w:after="0" w:line="240" w:lineRule="auto"/>
              <w:rPr>
                <w:rFonts w:ascii="Arial" w:eastAsia="Times New Roman" w:hAnsi="Arial" w:cs="Arial"/>
                <w:color w:val="000000"/>
                <w:kern w:val="0"/>
                <w:sz w:val="24"/>
                <w:szCs w:val="24"/>
                <w:lang w:eastAsia="pt-BR"/>
                <w14:ligatures w14:val="none"/>
              </w:rPr>
            </w:pPr>
            <w:r w:rsidRPr="00435224">
              <w:rPr>
                <w:rFonts w:ascii="Arial" w:eastAsia="Times New Roman" w:hAnsi="Arial" w:cs="Arial"/>
                <w:color w:val="000000"/>
                <w:kern w:val="0"/>
                <w:sz w:val="24"/>
                <w:szCs w:val="24"/>
                <w:lang w:eastAsia="pt-BR"/>
                <w14:ligatures w14:val="none"/>
              </w:rPr>
              <w:t>1876/2017</w:t>
            </w:r>
            <w:r>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tcPr>
          <w:p w14:paraId="3535033A" w14:textId="3C543F7E" w:rsidR="00E3563C" w:rsidRPr="004F0908" w:rsidRDefault="00A41429"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Auditoria com o objetivo de avaliar a qualidade </w:t>
            </w:r>
            <w:r w:rsidR="005B48BC">
              <w:rPr>
                <w:rFonts w:ascii="Arial" w:eastAsia="Times New Roman" w:hAnsi="Arial" w:cs="Arial"/>
                <w:color w:val="000000"/>
                <w:kern w:val="0"/>
                <w:sz w:val="24"/>
                <w:szCs w:val="24"/>
                <w:lang w:eastAsia="pt-BR"/>
                <w14:ligatures w14:val="none"/>
              </w:rPr>
              <w:t>de obras de manutenção de trecho rodoviário da BR-356/RJ</w:t>
            </w:r>
            <w:r w:rsidR="00BE595E">
              <w:rPr>
                <w:rFonts w:ascii="Arial" w:eastAsia="Times New Roman" w:hAnsi="Arial" w:cs="Arial"/>
                <w:color w:val="000000"/>
                <w:kern w:val="0"/>
                <w:sz w:val="24"/>
                <w:szCs w:val="24"/>
                <w:lang w:eastAsia="pt-BR"/>
                <w14:ligatures w14:val="none"/>
              </w:rPr>
              <w:t xml:space="preserve"> – km 34,7 a 98,6</w:t>
            </w:r>
          </w:p>
        </w:tc>
        <w:tc>
          <w:tcPr>
            <w:tcW w:w="2410" w:type="dxa"/>
            <w:tcBorders>
              <w:top w:val="nil"/>
              <w:left w:val="nil"/>
              <w:bottom w:val="single" w:sz="4" w:space="0" w:color="auto"/>
              <w:right w:val="single" w:sz="4" w:space="0" w:color="auto"/>
            </w:tcBorders>
            <w:shd w:val="clear" w:color="auto" w:fill="auto"/>
            <w:noWrap/>
            <w:vAlign w:val="center"/>
          </w:tcPr>
          <w:p w14:paraId="4DC99120" w14:textId="4FBE473B" w:rsidR="00E3563C" w:rsidRPr="004F0908" w:rsidRDefault="00BE595E"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Rodovia federal em pavimento flexível</w:t>
            </w:r>
          </w:p>
        </w:tc>
        <w:tc>
          <w:tcPr>
            <w:tcW w:w="2155" w:type="dxa"/>
            <w:tcBorders>
              <w:top w:val="single" w:sz="4" w:space="0" w:color="auto"/>
              <w:left w:val="nil"/>
              <w:bottom w:val="single" w:sz="4" w:space="0" w:color="auto"/>
            </w:tcBorders>
            <w:shd w:val="clear" w:color="auto" w:fill="auto"/>
            <w:noWrap/>
            <w:vAlign w:val="center"/>
          </w:tcPr>
          <w:p w14:paraId="71BEE7FE" w14:textId="2FAD69DD" w:rsidR="00E3563C" w:rsidRDefault="00BE595E"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Exsudação do pavimento</w:t>
            </w:r>
            <w:r w:rsidR="00082BD7">
              <w:rPr>
                <w:rFonts w:ascii="Arial" w:eastAsia="Times New Roman" w:hAnsi="Arial" w:cs="Arial"/>
                <w:color w:val="000000"/>
                <w:kern w:val="0"/>
                <w:sz w:val="24"/>
                <w:szCs w:val="24"/>
                <w:lang w:eastAsia="pt-BR"/>
                <w14:ligatures w14:val="none"/>
              </w:rPr>
              <w:t>;</w:t>
            </w:r>
          </w:p>
          <w:p w14:paraId="21E80A4F" w14:textId="2AC31389" w:rsidR="00BC1FF8" w:rsidRPr="004F0908" w:rsidRDefault="00BC1FF8"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Deflexões do pavimento acima das especificações técnicas</w:t>
            </w:r>
            <w:r w:rsidR="00082BD7">
              <w:rPr>
                <w:rFonts w:ascii="Arial" w:eastAsia="Times New Roman" w:hAnsi="Arial" w:cs="Arial"/>
                <w:color w:val="000000"/>
                <w:kern w:val="0"/>
                <w:sz w:val="24"/>
                <w:szCs w:val="24"/>
                <w:lang w:eastAsia="pt-BR"/>
                <w14:ligatures w14:val="none"/>
              </w:rPr>
              <w:t>.</w:t>
            </w:r>
          </w:p>
        </w:tc>
      </w:tr>
      <w:tr w:rsidR="00E3563C" w:rsidRPr="004F0908" w14:paraId="083A82CD" w14:textId="77777777" w:rsidTr="00DA24CF">
        <w:trPr>
          <w:trHeight w:val="600"/>
        </w:trPr>
        <w:tc>
          <w:tcPr>
            <w:tcW w:w="1355" w:type="dxa"/>
            <w:tcBorders>
              <w:top w:val="single" w:sz="4" w:space="0" w:color="auto"/>
              <w:bottom w:val="single" w:sz="4" w:space="0" w:color="auto"/>
              <w:right w:val="single" w:sz="4" w:space="0" w:color="auto"/>
            </w:tcBorders>
            <w:shd w:val="clear" w:color="auto" w:fill="auto"/>
            <w:noWrap/>
            <w:vAlign w:val="center"/>
            <w:hideMark/>
          </w:tcPr>
          <w:p w14:paraId="72709E4C" w14:textId="17501DA6" w:rsidR="00E3563C" w:rsidRPr="004F0908" w:rsidRDefault="00E3563C" w:rsidP="00267509">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979/2017</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hideMark/>
          </w:tcPr>
          <w:p w14:paraId="6575ADC9" w14:textId="559E5928" w:rsidR="00E3563C" w:rsidRPr="004F0908" w:rsidRDefault="008E44D1"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Auditoria com o objetivo de avaliar a qualidade das obras do Residencial Irmã Dulce, em João Pessoa/PB, construído no âmbito do programa Minha Casa, Minha Vida</w:t>
            </w:r>
          </w:p>
        </w:tc>
        <w:tc>
          <w:tcPr>
            <w:tcW w:w="2410" w:type="dxa"/>
            <w:tcBorders>
              <w:top w:val="nil"/>
              <w:left w:val="nil"/>
              <w:bottom w:val="single" w:sz="4" w:space="0" w:color="auto"/>
              <w:right w:val="single" w:sz="4" w:space="0" w:color="auto"/>
            </w:tcBorders>
            <w:shd w:val="clear" w:color="auto" w:fill="auto"/>
            <w:noWrap/>
            <w:vAlign w:val="center"/>
            <w:hideMark/>
          </w:tcPr>
          <w:p w14:paraId="6E98F2AD" w14:textId="632B5DDA" w:rsidR="00E3563C" w:rsidRPr="004F0908" w:rsidRDefault="00785847"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Condomínios habitacionais </w:t>
            </w:r>
            <w:r w:rsidR="0011723A">
              <w:rPr>
                <w:rFonts w:ascii="Arial" w:eastAsia="Times New Roman" w:hAnsi="Arial" w:cs="Arial"/>
                <w:color w:val="000000"/>
                <w:kern w:val="0"/>
                <w:sz w:val="24"/>
                <w:szCs w:val="24"/>
                <w:lang w:eastAsia="pt-BR"/>
                <w14:ligatures w14:val="none"/>
              </w:rPr>
              <w:t>populares em alvenaria estrutural</w:t>
            </w:r>
          </w:p>
        </w:tc>
        <w:tc>
          <w:tcPr>
            <w:tcW w:w="2155" w:type="dxa"/>
            <w:tcBorders>
              <w:top w:val="single" w:sz="4" w:space="0" w:color="auto"/>
              <w:left w:val="nil"/>
              <w:bottom w:val="single" w:sz="4" w:space="0" w:color="auto"/>
            </w:tcBorders>
            <w:shd w:val="clear" w:color="auto" w:fill="auto"/>
            <w:noWrap/>
            <w:vAlign w:val="center"/>
            <w:hideMark/>
          </w:tcPr>
          <w:p w14:paraId="0A5DEAB9" w14:textId="18D136DA" w:rsidR="00E3563C" w:rsidRPr="004F0908" w:rsidRDefault="0011723A"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Trincas </w:t>
            </w:r>
            <w:r w:rsidR="008864D8">
              <w:rPr>
                <w:rFonts w:ascii="Arial" w:eastAsia="Times New Roman" w:hAnsi="Arial" w:cs="Arial"/>
                <w:color w:val="000000"/>
                <w:kern w:val="0"/>
                <w:sz w:val="24"/>
                <w:szCs w:val="24"/>
                <w:lang w:eastAsia="pt-BR"/>
                <w14:ligatures w14:val="none"/>
              </w:rPr>
              <w:t>e infiltrações</w:t>
            </w:r>
            <w:r>
              <w:rPr>
                <w:rFonts w:ascii="Arial" w:eastAsia="Times New Roman" w:hAnsi="Arial" w:cs="Arial"/>
                <w:color w:val="000000"/>
                <w:kern w:val="0"/>
                <w:sz w:val="24"/>
                <w:szCs w:val="24"/>
                <w:lang w:eastAsia="pt-BR"/>
                <w14:ligatures w14:val="none"/>
              </w:rPr>
              <w:t xml:space="preserve"> derivadas do uso de blocos cerâmicos de vedação</w:t>
            </w:r>
            <w:r w:rsidR="008864D8">
              <w:rPr>
                <w:rFonts w:ascii="Arial" w:eastAsia="Times New Roman" w:hAnsi="Arial" w:cs="Arial"/>
                <w:color w:val="000000"/>
                <w:kern w:val="0"/>
                <w:sz w:val="24"/>
                <w:szCs w:val="24"/>
                <w:lang w:eastAsia="pt-BR"/>
                <w14:ligatures w14:val="none"/>
              </w:rPr>
              <w:t xml:space="preserve"> em alvenarias com função estrutural</w:t>
            </w:r>
            <w:r w:rsidR="00082BD7">
              <w:rPr>
                <w:rFonts w:ascii="Arial" w:eastAsia="Times New Roman" w:hAnsi="Arial" w:cs="Arial"/>
                <w:color w:val="000000"/>
                <w:kern w:val="0"/>
                <w:sz w:val="24"/>
                <w:szCs w:val="24"/>
                <w:lang w:eastAsia="pt-BR"/>
                <w14:ligatures w14:val="none"/>
              </w:rPr>
              <w:t>.</w:t>
            </w:r>
          </w:p>
        </w:tc>
      </w:tr>
      <w:tr w:rsidR="00E3563C" w:rsidRPr="004F0908" w14:paraId="547522C7" w14:textId="77777777" w:rsidTr="00DA24CF">
        <w:trPr>
          <w:trHeight w:val="600"/>
        </w:trPr>
        <w:tc>
          <w:tcPr>
            <w:tcW w:w="1355" w:type="dxa"/>
            <w:tcBorders>
              <w:top w:val="single" w:sz="4" w:space="0" w:color="auto"/>
              <w:bottom w:val="single" w:sz="4" w:space="0" w:color="auto"/>
              <w:right w:val="single" w:sz="4" w:space="0" w:color="auto"/>
            </w:tcBorders>
            <w:shd w:val="clear" w:color="auto" w:fill="auto"/>
            <w:noWrap/>
            <w:vAlign w:val="center"/>
            <w:hideMark/>
          </w:tcPr>
          <w:p w14:paraId="47B8B097" w14:textId="12F70230"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1316</w:t>
            </w:r>
            <w:r w:rsidRPr="004F0908">
              <w:rPr>
                <w:rFonts w:ascii="Arial" w:eastAsia="Times New Roman" w:hAnsi="Arial" w:cs="Arial"/>
                <w:color w:val="000000"/>
                <w:kern w:val="0"/>
                <w:sz w:val="24"/>
                <w:szCs w:val="24"/>
                <w:lang w:eastAsia="pt-BR"/>
                <w14:ligatures w14:val="none"/>
              </w:rPr>
              <w:t>/201</w:t>
            </w:r>
            <w:r>
              <w:rPr>
                <w:rFonts w:ascii="Arial" w:eastAsia="Times New Roman" w:hAnsi="Arial" w:cs="Arial"/>
                <w:color w:val="000000"/>
                <w:kern w:val="0"/>
                <w:sz w:val="24"/>
                <w:szCs w:val="24"/>
                <w:lang w:eastAsia="pt-BR"/>
                <w14:ligatures w14:val="none"/>
              </w:rPr>
              <w:t>6</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hideMark/>
          </w:tcPr>
          <w:p w14:paraId="135B5A97" w14:textId="5941C097" w:rsidR="00E3563C" w:rsidRPr="004F0908" w:rsidRDefault="008513BE"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Auditoria </w:t>
            </w:r>
            <w:r w:rsidR="00BF7E96">
              <w:rPr>
                <w:rFonts w:ascii="Arial" w:eastAsia="Times New Roman" w:hAnsi="Arial" w:cs="Arial"/>
                <w:color w:val="000000"/>
                <w:kern w:val="0"/>
                <w:sz w:val="24"/>
                <w:szCs w:val="24"/>
                <w:lang w:eastAsia="pt-BR"/>
                <w14:ligatures w14:val="none"/>
              </w:rPr>
              <w:t>nas obras do novo edifício para o Meio Circulante do Banco Central do Brasil, no Rio de Janeiro/RJ</w:t>
            </w:r>
          </w:p>
        </w:tc>
        <w:tc>
          <w:tcPr>
            <w:tcW w:w="2410" w:type="dxa"/>
            <w:tcBorders>
              <w:top w:val="nil"/>
              <w:left w:val="nil"/>
              <w:bottom w:val="single" w:sz="4" w:space="0" w:color="auto"/>
              <w:right w:val="single" w:sz="4" w:space="0" w:color="auto"/>
            </w:tcBorders>
            <w:shd w:val="clear" w:color="auto" w:fill="auto"/>
            <w:noWrap/>
            <w:vAlign w:val="center"/>
            <w:hideMark/>
          </w:tcPr>
          <w:p w14:paraId="32AEFC24" w14:textId="0E4453DC" w:rsidR="00E3563C" w:rsidRPr="004F0908" w:rsidRDefault="00A72DA1"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Edifício</w:t>
            </w:r>
            <w:r w:rsidR="00CF2E76">
              <w:rPr>
                <w:rFonts w:ascii="Arial" w:eastAsia="Times New Roman" w:hAnsi="Arial" w:cs="Arial"/>
                <w:color w:val="000000"/>
                <w:kern w:val="0"/>
                <w:sz w:val="24"/>
                <w:szCs w:val="24"/>
                <w:lang w:eastAsia="pt-BR"/>
                <w14:ligatures w14:val="none"/>
              </w:rPr>
              <w:t xml:space="preserve"> de sete pavimentos</w:t>
            </w:r>
            <w:r>
              <w:rPr>
                <w:rFonts w:ascii="Arial" w:eastAsia="Times New Roman" w:hAnsi="Arial" w:cs="Arial"/>
                <w:color w:val="000000"/>
                <w:kern w:val="0"/>
                <w:sz w:val="24"/>
                <w:szCs w:val="24"/>
                <w:lang w:eastAsia="pt-BR"/>
                <w14:ligatures w14:val="none"/>
              </w:rPr>
              <w:t xml:space="preserve"> em estrutura de concreto armado e protendido</w:t>
            </w:r>
          </w:p>
        </w:tc>
        <w:tc>
          <w:tcPr>
            <w:tcW w:w="2155" w:type="dxa"/>
            <w:tcBorders>
              <w:top w:val="single" w:sz="4" w:space="0" w:color="auto"/>
              <w:left w:val="nil"/>
              <w:bottom w:val="single" w:sz="4" w:space="0" w:color="auto"/>
            </w:tcBorders>
            <w:shd w:val="clear" w:color="auto" w:fill="auto"/>
            <w:noWrap/>
            <w:vAlign w:val="center"/>
            <w:hideMark/>
          </w:tcPr>
          <w:p w14:paraId="25F0057C" w14:textId="2D3218FF" w:rsidR="00E3563C" w:rsidRPr="004F0908" w:rsidRDefault="002624A4"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Risco de surgimento de patologias devido a proteções inadequadas da estrutura de concreto armado</w:t>
            </w:r>
            <w:r w:rsidR="00082BD7">
              <w:rPr>
                <w:rFonts w:ascii="Arial" w:eastAsia="Times New Roman" w:hAnsi="Arial" w:cs="Arial"/>
                <w:color w:val="000000"/>
                <w:kern w:val="0"/>
                <w:sz w:val="24"/>
                <w:szCs w:val="24"/>
                <w:lang w:eastAsia="pt-BR"/>
                <w14:ligatures w14:val="none"/>
              </w:rPr>
              <w:t>.</w:t>
            </w:r>
          </w:p>
        </w:tc>
      </w:tr>
      <w:tr w:rsidR="00E3563C" w:rsidRPr="004F0908" w14:paraId="592E2961" w14:textId="77777777" w:rsidTr="00DA24CF">
        <w:trPr>
          <w:trHeight w:val="900"/>
        </w:trPr>
        <w:tc>
          <w:tcPr>
            <w:tcW w:w="1355" w:type="dxa"/>
            <w:tcBorders>
              <w:top w:val="single" w:sz="4" w:space="0" w:color="auto"/>
              <w:bottom w:val="single" w:sz="4" w:space="0" w:color="auto"/>
              <w:right w:val="single" w:sz="4" w:space="0" w:color="auto"/>
            </w:tcBorders>
            <w:shd w:val="clear" w:color="auto" w:fill="auto"/>
            <w:noWrap/>
            <w:vAlign w:val="center"/>
            <w:hideMark/>
          </w:tcPr>
          <w:p w14:paraId="2CC41C50" w14:textId="7E0996C2"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1426/2015</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hideMark/>
          </w:tcPr>
          <w:p w14:paraId="7A7EF1BD" w14:textId="2DC2B994" w:rsidR="00E3563C" w:rsidRPr="004F0908" w:rsidRDefault="0031227E"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Consolidação de diversas auditorias realizadas em obras </w:t>
            </w:r>
            <w:r w:rsidR="003D7C2B">
              <w:rPr>
                <w:rFonts w:ascii="Arial" w:eastAsia="Times New Roman" w:hAnsi="Arial" w:cs="Arial"/>
                <w:color w:val="000000"/>
                <w:kern w:val="0"/>
                <w:sz w:val="24"/>
                <w:szCs w:val="24"/>
                <w:lang w:eastAsia="pt-BR"/>
                <w14:ligatures w14:val="none"/>
              </w:rPr>
              <w:t>de construção de Unidades Básicas de Saúde (UBS) e Unidades de Pronto Atendimento (UPA) em várias unidades da Federação</w:t>
            </w:r>
          </w:p>
        </w:tc>
        <w:tc>
          <w:tcPr>
            <w:tcW w:w="2410" w:type="dxa"/>
            <w:tcBorders>
              <w:top w:val="nil"/>
              <w:left w:val="nil"/>
              <w:bottom w:val="single" w:sz="4" w:space="0" w:color="auto"/>
              <w:right w:val="single" w:sz="4" w:space="0" w:color="auto"/>
            </w:tcBorders>
            <w:shd w:val="clear" w:color="auto" w:fill="auto"/>
            <w:noWrap/>
            <w:vAlign w:val="center"/>
            <w:hideMark/>
          </w:tcPr>
          <w:p w14:paraId="730CE734" w14:textId="390629CE" w:rsidR="00E3563C" w:rsidRPr="004F0908" w:rsidRDefault="00C32B3E"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Unidades de saúde</w:t>
            </w:r>
          </w:p>
        </w:tc>
        <w:tc>
          <w:tcPr>
            <w:tcW w:w="2155" w:type="dxa"/>
            <w:tcBorders>
              <w:top w:val="single" w:sz="4" w:space="0" w:color="auto"/>
              <w:left w:val="nil"/>
              <w:bottom w:val="single" w:sz="4" w:space="0" w:color="auto"/>
            </w:tcBorders>
            <w:shd w:val="clear" w:color="auto" w:fill="auto"/>
            <w:noWrap/>
            <w:vAlign w:val="center"/>
            <w:hideMark/>
          </w:tcPr>
          <w:p w14:paraId="3304DC56" w14:textId="75F5B345" w:rsidR="00E3563C" w:rsidRDefault="00977051"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Ausência de serviços essenciais, a exemplo de terraplenagem</w:t>
            </w:r>
            <w:r w:rsidR="00082BD7">
              <w:rPr>
                <w:rFonts w:ascii="Arial" w:eastAsia="Times New Roman" w:hAnsi="Arial" w:cs="Arial"/>
                <w:color w:val="000000"/>
                <w:kern w:val="0"/>
                <w:sz w:val="24"/>
                <w:szCs w:val="24"/>
                <w:lang w:eastAsia="pt-BR"/>
                <w14:ligatures w14:val="none"/>
              </w:rPr>
              <w:t>;</w:t>
            </w:r>
          </w:p>
          <w:p w14:paraId="25626950" w14:textId="6DEB4697" w:rsidR="00F8311F" w:rsidRDefault="00F8311F"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Trincas estruturais</w:t>
            </w:r>
            <w:r w:rsidR="00082BD7">
              <w:rPr>
                <w:rFonts w:ascii="Arial" w:eastAsia="Times New Roman" w:hAnsi="Arial" w:cs="Arial"/>
                <w:color w:val="000000"/>
                <w:kern w:val="0"/>
                <w:sz w:val="24"/>
                <w:szCs w:val="24"/>
                <w:lang w:eastAsia="pt-BR"/>
                <w14:ligatures w14:val="none"/>
              </w:rPr>
              <w:t>;</w:t>
            </w:r>
          </w:p>
          <w:p w14:paraId="57BC17A1" w14:textId="77CDAC8B" w:rsidR="00F8311F" w:rsidRDefault="00F8311F"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Recalques de fundação elevados</w:t>
            </w:r>
            <w:r w:rsidR="00082BD7">
              <w:rPr>
                <w:rFonts w:ascii="Arial" w:eastAsia="Times New Roman" w:hAnsi="Arial" w:cs="Arial"/>
                <w:color w:val="000000"/>
                <w:kern w:val="0"/>
                <w:sz w:val="24"/>
                <w:szCs w:val="24"/>
                <w:lang w:eastAsia="pt-BR"/>
                <w14:ligatures w14:val="none"/>
              </w:rPr>
              <w:t>;</w:t>
            </w:r>
          </w:p>
          <w:p w14:paraId="42E1E55C" w14:textId="3695C978" w:rsidR="00F8311F" w:rsidRDefault="00F8311F"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lastRenderedPageBreak/>
              <w:t>Impermeabilização ma</w:t>
            </w:r>
            <w:r w:rsidR="001F1BCF">
              <w:rPr>
                <w:rFonts w:ascii="Arial" w:eastAsia="Times New Roman" w:hAnsi="Arial" w:cs="Arial"/>
                <w:color w:val="000000"/>
                <w:kern w:val="0"/>
                <w:sz w:val="24"/>
                <w:szCs w:val="24"/>
                <w:lang w:eastAsia="pt-BR"/>
                <w14:ligatures w14:val="none"/>
              </w:rPr>
              <w:t>l executada</w:t>
            </w:r>
            <w:r w:rsidR="00082BD7">
              <w:rPr>
                <w:rFonts w:ascii="Arial" w:eastAsia="Times New Roman" w:hAnsi="Arial" w:cs="Arial"/>
                <w:color w:val="000000"/>
                <w:kern w:val="0"/>
                <w:sz w:val="24"/>
                <w:szCs w:val="24"/>
                <w:lang w:eastAsia="pt-BR"/>
                <w14:ligatures w14:val="none"/>
              </w:rPr>
              <w:t>;</w:t>
            </w:r>
          </w:p>
          <w:p w14:paraId="2AC944B5" w14:textId="2B5EC1C8" w:rsidR="001F1BCF" w:rsidRDefault="001F1BCF"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Infiltração</w:t>
            </w:r>
            <w:r w:rsidR="00082BD7">
              <w:rPr>
                <w:rFonts w:ascii="Arial" w:eastAsia="Times New Roman" w:hAnsi="Arial" w:cs="Arial"/>
                <w:color w:val="000000"/>
                <w:kern w:val="0"/>
                <w:sz w:val="24"/>
                <w:szCs w:val="24"/>
                <w:lang w:eastAsia="pt-BR"/>
                <w14:ligatures w14:val="none"/>
              </w:rPr>
              <w:t>;</w:t>
            </w:r>
          </w:p>
          <w:p w14:paraId="3A10E3A0" w14:textId="6D3CF08B" w:rsidR="009F353B" w:rsidRPr="004F0908" w:rsidRDefault="009F353B"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Acabamentos inadequados</w:t>
            </w:r>
            <w:r w:rsidR="00082BD7">
              <w:rPr>
                <w:rFonts w:ascii="Arial" w:eastAsia="Times New Roman" w:hAnsi="Arial" w:cs="Arial"/>
                <w:color w:val="000000"/>
                <w:kern w:val="0"/>
                <w:sz w:val="24"/>
                <w:szCs w:val="24"/>
                <w:lang w:eastAsia="pt-BR"/>
                <w14:ligatures w14:val="none"/>
              </w:rPr>
              <w:t>.</w:t>
            </w:r>
          </w:p>
        </w:tc>
      </w:tr>
      <w:tr w:rsidR="00E3563C" w:rsidRPr="004F0908" w14:paraId="54818BDD" w14:textId="77777777" w:rsidTr="00DA24CF">
        <w:trPr>
          <w:trHeight w:val="300"/>
        </w:trPr>
        <w:tc>
          <w:tcPr>
            <w:tcW w:w="1355" w:type="dxa"/>
            <w:tcBorders>
              <w:top w:val="single" w:sz="4" w:space="0" w:color="auto"/>
              <w:bottom w:val="single" w:sz="4" w:space="0" w:color="auto"/>
              <w:right w:val="single" w:sz="4" w:space="0" w:color="auto"/>
            </w:tcBorders>
            <w:shd w:val="clear" w:color="auto" w:fill="auto"/>
            <w:noWrap/>
            <w:vAlign w:val="center"/>
            <w:hideMark/>
          </w:tcPr>
          <w:p w14:paraId="5AF64501" w14:textId="374BDB25"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lastRenderedPageBreak/>
              <w:t>608/2015</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hideMark/>
          </w:tcPr>
          <w:p w14:paraId="34C21E3E" w14:textId="14B83F79" w:rsidR="00E3563C" w:rsidRPr="004F0908" w:rsidRDefault="001F3807"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Consolidação de diversas auditorias realizadas em obras de construção de creches, </w:t>
            </w:r>
            <w:r w:rsidR="003C549B">
              <w:rPr>
                <w:rFonts w:ascii="Arial" w:eastAsia="Times New Roman" w:hAnsi="Arial" w:cs="Arial"/>
                <w:color w:val="000000"/>
                <w:kern w:val="0"/>
                <w:sz w:val="24"/>
                <w:szCs w:val="24"/>
                <w:lang w:eastAsia="pt-BR"/>
                <w14:ligatures w14:val="none"/>
              </w:rPr>
              <w:t xml:space="preserve">escolas de ensino fundamental e quadras escolares poliesportivas </w:t>
            </w:r>
            <w:r>
              <w:rPr>
                <w:rFonts w:ascii="Arial" w:eastAsia="Times New Roman" w:hAnsi="Arial" w:cs="Arial"/>
                <w:color w:val="000000"/>
                <w:kern w:val="0"/>
                <w:sz w:val="24"/>
                <w:szCs w:val="24"/>
                <w:lang w:eastAsia="pt-BR"/>
                <w14:ligatures w14:val="none"/>
              </w:rPr>
              <w:t>em várias unidades da Federação</w:t>
            </w:r>
          </w:p>
        </w:tc>
        <w:tc>
          <w:tcPr>
            <w:tcW w:w="2410" w:type="dxa"/>
            <w:tcBorders>
              <w:top w:val="nil"/>
              <w:left w:val="nil"/>
              <w:bottom w:val="single" w:sz="4" w:space="0" w:color="auto"/>
              <w:right w:val="single" w:sz="4" w:space="0" w:color="auto"/>
            </w:tcBorders>
            <w:shd w:val="clear" w:color="auto" w:fill="auto"/>
            <w:noWrap/>
            <w:vAlign w:val="center"/>
            <w:hideMark/>
          </w:tcPr>
          <w:p w14:paraId="3C7D3F74" w14:textId="77777777" w:rsidR="00E3563C" w:rsidRDefault="003C549B"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Creches</w:t>
            </w:r>
          </w:p>
          <w:p w14:paraId="21377B14" w14:textId="77777777" w:rsidR="003C549B" w:rsidRDefault="003C549B"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Escolas de Ensino Fundamental</w:t>
            </w:r>
          </w:p>
          <w:p w14:paraId="160EF310" w14:textId="0DC7C52D" w:rsidR="003C549B" w:rsidRPr="004F0908" w:rsidRDefault="003C549B"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Quadras escolares poliesportivas</w:t>
            </w:r>
          </w:p>
        </w:tc>
        <w:tc>
          <w:tcPr>
            <w:tcW w:w="2155" w:type="dxa"/>
            <w:tcBorders>
              <w:top w:val="single" w:sz="4" w:space="0" w:color="auto"/>
              <w:left w:val="nil"/>
              <w:bottom w:val="single" w:sz="4" w:space="0" w:color="auto"/>
            </w:tcBorders>
            <w:shd w:val="clear" w:color="auto" w:fill="auto"/>
            <w:noWrap/>
            <w:vAlign w:val="center"/>
            <w:hideMark/>
          </w:tcPr>
          <w:p w14:paraId="2FF18F75" w14:textId="55E4EAFF" w:rsidR="00E3563C" w:rsidRDefault="00791CED"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Patologias em serviços de terraplenagem e estruturas de contenção</w:t>
            </w:r>
            <w:r w:rsidR="00082BD7">
              <w:rPr>
                <w:rFonts w:ascii="Arial" w:eastAsia="Times New Roman" w:hAnsi="Arial" w:cs="Arial"/>
                <w:color w:val="000000"/>
                <w:kern w:val="0"/>
                <w:sz w:val="24"/>
                <w:szCs w:val="24"/>
                <w:lang w:eastAsia="pt-BR"/>
                <w14:ligatures w14:val="none"/>
              </w:rPr>
              <w:t>;</w:t>
            </w:r>
          </w:p>
          <w:p w14:paraId="5E8FEF72" w14:textId="4A18250F" w:rsidR="00791CED" w:rsidRDefault="00791CED"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Recalques de fundação</w:t>
            </w:r>
            <w:r w:rsidR="00082BD7">
              <w:rPr>
                <w:rFonts w:ascii="Arial" w:eastAsia="Times New Roman" w:hAnsi="Arial" w:cs="Arial"/>
                <w:color w:val="000000"/>
                <w:kern w:val="0"/>
                <w:sz w:val="24"/>
                <w:szCs w:val="24"/>
                <w:lang w:eastAsia="pt-BR"/>
                <w14:ligatures w14:val="none"/>
              </w:rPr>
              <w:t>;</w:t>
            </w:r>
          </w:p>
          <w:p w14:paraId="3BAF7C1B" w14:textId="1B5283EC" w:rsidR="00791CED" w:rsidRDefault="00FF47B5"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Erosões</w:t>
            </w:r>
            <w:r w:rsidR="00082BD7">
              <w:rPr>
                <w:rFonts w:ascii="Arial" w:eastAsia="Times New Roman" w:hAnsi="Arial" w:cs="Arial"/>
                <w:color w:val="000000"/>
                <w:kern w:val="0"/>
                <w:sz w:val="24"/>
                <w:szCs w:val="24"/>
                <w:lang w:eastAsia="pt-BR"/>
                <w14:ligatures w14:val="none"/>
              </w:rPr>
              <w:t>;</w:t>
            </w:r>
          </w:p>
          <w:p w14:paraId="48511097" w14:textId="479BB58C" w:rsidR="00645053" w:rsidRDefault="00645053"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Ruptura de lajes</w:t>
            </w:r>
            <w:r w:rsidR="00082BD7">
              <w:rPr>
                <w:rFonts w:ascii="Arial" w:eastAsia="Times New Roman" w:hAnsi="Arial" w:cs="Arial"/>
                <w:color w:val="000000"/>
                <w:kern w:val="0"/>
                <w:sz w:val="24"/>
                <w:szCs w:val="24"/>
                <w:lang w:eastAsia="pt-BR"/>
                <w14:ligatures w14:val="none"/>
              </w:rPr>
              <w:t>;</w:t>
            </w:r>
          </w:p>
          <w:p w14:paraId="5722B4E5" w14:textId="04AC1C78" w:rsidR="00645053" w:rsidRPr="004F0908" w:rsidRDefault="00645053"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Trincas estruturais em lajes e paredes</w:t>
            </w:r>
            <w:r w:rsidR="00082BD7">
              <w:rPr>
                <w:rFonts w:ascii="Arial" w:eastAsia="Times New Roman" w:hAnsi="Arial" w:cs="Arial"/>
                <w:color w:val="000000"/>
                <w:kern w:val="0"/>
                <w:sz w:val="24"/>
                <w:szCs w:val="24"/>
                <w:lang w:eastAsia="pt-BR"/>
                <w14:ligatures w14:val="none"/>
              </w:rPr>
              <w:t>.</w:t>
            </w:r>
          </w:p>
        </w:tc>
      </w:tr>
      <w:tr w:rsidR="00E3563C" w:rsidRPr="004F0908" w14:paraId="4E44E01F" w14:textId="77777777" w:rsidTr="00DA24CF">
        <w:trPr>
          <w:trHeight w:val="300"/>
        </w:trPr>
        <w:tc>
          <w:tcPr>
            <w:tcW w:w="1355" w:type="dxa"/>
            <w:tcBorders>
              <w:top w:val="single" w:sz="4" w:space="0" w:color="auto"/>
              <w:bottom w:val="single" w:sz="4" w:space="0" w:color="auto"/>
              <w:right w:val="single" w:sz="4" w:space="0" w:color="auto"/>
            </w:tcBorders>
            <w:shd w:val="clear" w:color="auto" w:fill="auto"/>
            <w:noWrap/>
            <w:vAlign w:val="center"/>
            <w:hideMark/>
          </w:tcPr>
          <w:p w14:paraId="08DF9134" w14:textId="081DC87B"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549/2015</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noWrap/>
            <w:vAlign w:val="center"/>
            <w:hideMark/>
          </w:tcPr>
          <w:p w14:paraId="03D22B4C" w14:textId="3DF6F8AF" w:rsidR="00E3563C" w:rsidRPr="004F0908" w:rsidRDefault="00D3294D"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Auditoria com o objetivo de avaliar a qualidade de obras de </w:t>
            </w:r>
            <w:r w:rsidR="00510763">
              <w:rPr>
                <w:rFonts w:ascii="Arial" w:eastAsia="Times New Roman" w:hAnsi="Arial" w:cs="Arial"/>
                <w:color w:val="000000"/>
                <w:kern w:val="0"/>
                <w:sz w:val="24"/>
                <w:szCs w:val="24"/>
                <w:lang w:eastAsia="pt-BR"/>
                <w14:ligatures w14:val="none"/>
              </w:rPr>
              <w:t>restauração</w:t>
            </w:r>
            <w:r>
              <w:rPr>
                <w:rFonts w:ascii="Arial" w:eastAsia="Times New Roman" w:hAnsi="Arial" w:cs="Arial"/>
                <w:color w:val="000000"/>
                <w:kern w:val="0"/>
                <w:sz w:val="24"/>
                <w:szCs w:val="24"/>
                <w:lang w:eastAsia="pt-BR"/>
                <w14:ligatures w14:val="none"/>
              </w:rPr>
              <w:t xml:space="preserve"> de trecho rodoviário da BR-</w:t>
            </w:r>
            <w:r w:rsidR="00510763">
              <w:rPr>
                <w:rFonts w:ascii="Arial" w:eastAsia="Times New Roman" w:hAnsi="Arial" w:cs="Arial"/>
                <w:color w:val="000000"/>
                <w:kern w:val="0"/>
                <w:sz w:val="24"/>
                <w:szCs w:val="24"/>
                <w:lang w:eastAsia="pt-BR"/>
                <w14:ligatures w14:val="none"/>
              </w:rPr>
              <w:t>101</w:t>
            </w:r>
            <w:r>
              <w:rPr>
                <w:rFonts w:ascii="Arial" w:eastAsia="Times New Roman" w:hAnsi="Arial" w:cs="Arial"/>
                <w:color w:val="000000"/>
                <w:kern w:val="0"/>
                <w:sz w:val="24"/>
                <w:szCs w:val="24"/>
                <w:lang w:eastAsia="pt-BR"/>
                <w14:ligatures w14:val="none"/>
              </w:rPr>
              <w:t>/</w:t>
            </w:r>
            <w:r w:rsidR="00510763">
              <w:rPr>
                <w:rFonts w:ascii="Arial" w:eastAsia="Times New Roman" w:hAnsi="Arial" w:cs="Arial"/>
                <w:color w:val="000000"/>
                <w:kern w:val="0"/>
                <w:sz w:val="24"/>
                <w:szCs w:val="24"/>
                <w:lang w:eastAsia="pt-BR"/>
                <w14:ligatures w14:val="none"/>
              </w:rPr>
              <w:t>SE</w:t>
            </w:r>
            <w:r>
              <w:rPr>
                <w:rFonts w:ascii="Arial" w:eastAsia="Times New Roman" w:hAnsi="Arial" w:cs="Arial"/>
                <w:color w:val="000000"/>
                <w:kern w:val="0"/>
                <w:sz w:val="24"/>
                <w:szCs w:val="24"/>
                <w:lang w:eastAsia="pt-BR"/>
                <w14:ligatures w14:val="none"/>
              </w:rPr>
              <w:t xml:space="preserve"> – km </w:t>
            </w:r>
            <w:r w:rsidR="00510763">
              <w:rPr>
                <w:rFonts w:ascii="Arial" w:eastAsia="Times New Roman" w:hAnsi="Arial" w:cs="Arial"/>
                <w:color w:val="000000"/>
                <w:kern w:val="0"/>
                <w:sz w:val="24"/>
                <w:szCs w:val="24"/>
                <w:lang w:eastAsia="pt-BR"/>
                <w14:ligatures w14:val="none"/>
              </w:rPr>
              <w:t>153,9</w:t>
            </w:r>
            <w:r>
              <w:rPr>
                <w:rFonts w:ascii="Arial" w:eastAsia="Times New Roman" w:hAnsi="Arial" w:cs="Arial"/>
                <w:color w:val="000000"/>
                <w:kern w:val="0"/>
                <w:sz w:val="24"/>
                <w:szCs w:val="24"/>
                <w:lang w:eastAsia="pt-BR"/>
                <w14:ligatures w14:val="none"/>
              </w:rPr>
              <w:t xml:space="preserve"> a </w:t>
            </w:r>
            <w:r w:rsidR="00510763">
              <w:rPr>
                <w:rFonts w:ascii="Arial" w:eastAsia="Times New Roman" w:hAnsi="Arial" w:cs="Arial"/>
                <w:color w:val="000000"/>
                <w:kern w:val="0"/>
                <w:sz w:val="24"/>
                <w:szCs w:val="24"/>
                <w:lang w:eastAsia="pt-BR"/>
                <w14:ligatures w14:val="none"/>
              </w:rPr>
              <w:t>206,1</w:t>
            </w:r>
          </w:p>
        </w:tc>
        <w:tc>
          <w:tcPr>
            <w:tcW w:w="2410" w:type="dxa"/>
            <w:tcBorders>
              <w:top w:val="nil"/>
              <w:left w:val="nil"/>
              <w:bottom w:val="single" w:sz="4" w:space="0" w:color="auto"/>
              <w:right w:val="single" w:sz="4" w:space="0" w:color="auto"/>
            </w:tcBorders>
            <w:shd w:val="clear" w:color="auto" w:fill="auto"/>
            <w:noWrap/>
            <w:vAlign w:val="center"/>
            <w:hideMark/>
          </w:tcPr>
          <w:p w14:paraId="30D3A6F3" w14:textId="58668016" w:rsidR="00E3563C" w:rsidRPr="004F0908" w:rsidRDefault="001A5FF9"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Rodovia federal em pavimento flexível</w:t>
            </w:r>
          </w:p>
        </w:tc>
        <w:tc>
          <w:tcPr>
            <w:tcW w:w="2155" w:type="dxa"/>
            <w:tcBorders>
              <w:top w:val="single" w:sz="4" w:space="0" w:color="auto"/>
              <w:left w:val="nil"/>
              <w:bottom w:val="single" w:sz="4" w:space="0" w:color="auto"/>
            </w:tcBorders>
            <w:shd w:val="clear" w:color="auto" w:fill="auto"/>
            <w:noWrap/>
            <w:vAlign w:val="center"/>
            <w:hideMark/>
          </w:tcPr>
          <w:p w14:paraId="161D5EAE" w14:textId="59CCDC58" w:rsidR="001A5FF9" w:rsidRDefault="001A5FF9"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Trilha de roda</w:t>
            </w:r>
            <w:r w:rsidR="00082BD7">
              <w:rPr>
                <w:rFonts w:ascii="Arial" w:eastAsia="Times New Roman" w:hAnsi="Arial" w:cs="Arial"/>
                <w:color w:val="000000"/>
                <w:kern w:val="0"/>
                <w:sz w:val="24"/>
                <w:szCs w:val="24"/>
                <w:lang w:eastAsia="pt-BR"/>
                <w14:ligatures w14:val="none"/>
              </w:rPr>
              <w:t>;</w:t>
            </w:r>
          </w:p>
          <w:p w14:paraId="4C0582DF" w14:textId="232DF104" w:rsidR="001A5FF9" w:rsidRDefault="001A5FF9"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Escorregamentos</w:t>
            </w:r>
            <w:r w:rsidR="00082BD7">
              <w:rPr>
                <w:rFonts w:ascii="Arial" w:eastAsia="Times New Roman" w:hAnsi="Arial" w:cs="Arial"/>
                <w:color w:val="000000"/>
                <w:kern w:val="0"/>
                <w:sz w:val="24"/>
                <w:szCs w:val="24"/>
                <w:lang w:eastAsia="pt-BR"/>
                <w14:ligatures w14:val="none"/>
              </w:rPr>
              <w:t>;</w:t>
            </w:r>
          </w:p>
          <w:p w14:paraId="24A69551" w14:textId="3483E026" w:rsidR="001A5FF9" w:rsidRDefault="001A5FF9"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Solevamentos</w:t>
            </w:r>
            <w:r w:rsidR="00082BD7">
              <w:rPr>
                <w:rFonts w:ascii="Arial" w:eastAsia="Times New Roman" w:hAnsi="Arial" w:cs="Arial"/>
                <w:color w:val="000000"/>
                <w:kern w:val="0"/>
                <w:sz w:val="24"/>
                <w:szCs w:val="24"/>
                <w:lang w:eastAsia="pt-BR"/>
                <w14:ligatures w14:val="none"/>
              </w:rPr>
              <w:t>;</w:t>
            </w:r>
          </w:p>
          <w:p w14:paraId="605A7573" w14:textId="423AE666" w:rsidR="001A5FF9" w:rsidRDefault="001A5FF9"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Panelas</w:t>
            </w:r>
            <w:r w:rsidR="00082BD7">
              <w:rPr>
                <w:rFonts w:ascii="Arial" w:eastAsia="Times New Roman" w:hAnsi="Arial" w:cs="Arial"/>
                <w:color w:val="000000"/>
                <w:kern w:val="0"/>
                <w:sz w:val="24"/>
                <w:szCs w:val="24"/>
                <w:lang w:eastAsia="pt-BR"/>
                <w14:ligatures w14:val="none"/>
              </w:rPr>
              <w:t>;</w:t>
            </w:r>
          </w:p>
          <w:p w14:paraId="3E57343C" w14:textId="68A5B3AA" w:rsidR="001A5FF9" w:rsidRPr="004F0908" w:rsidRDefault="001A5FF9"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Trincas</w:t>
            </w:r>
            <w:r w:rsidR="00082BD7">
              <w:rPr>
                <w:rFonts w:ascii="Arial" w:eastAsia="Times New Roman" w:hAnsi="Arial" w:cs="Arial"/>
                <w:color w:val="000000"/>
                <w:kern w:val="0"/>
                <w:sz w:val="24"/>
                <w:szCs w:val="24"/>
                <w:lang w:eastAsia="pt-BR"/>
                <w14:ligatures w14:val="none"/>
              </w:rPr>
              <w:t>.</w:t>
            </w:r>
          </w:p>
        </w:tc>
      </w:tr>
      <w:tr w:rsidR="00E3563C" w:rsidRPr="004F0908" w14:paraId="284673DA" w14:textId="77777777" w:rsidTr="00DA24CF">
        <w:trPr>
          <w:trHeight w:val="300"/>
        </w:trPr>
        <w:tc>
          <w:tcPr>
            <w:tcW w:w="1355" w:type="dxa"/>
            <w:tcBorders>
              <w:top w:val="single" w:sz="4" w:space="0" w:color="auto"/>
              <w:bottom w:val="single" w:sz="4" w:space="0" w:color="auto"/>
              <w:right w:val="single" w:sz="4" w:space="0" w:color="auto"/>
            </w:tcBorders>
            <w:shd w:val="clear" w:color="auto" w:fill="auto"/>
            <w:noWrap/>
            <w:vAlign w:val="center"/>
            <w:hideMark/>
          </w:tcPr>
          <w:p w14:paraId="4356E445" w14:textId="3D8A6CD7" w:rsidR="00E3563C" w:rsidRPr="004F0908" w:rsidRDefault="00E3563C"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243</w:t>
            </w:r>
            <w:r w:rsidRPr="004F0908">
              <w:rPr>
                <w:rFonts w:ascii="Arial" w:eastAsia="Times New Roman" w:hAnsi="Arial" w:cs="Arial"/>
                <w:color w:val="000000"/>
                <w:kern w:val="0"/>
                <w:sz w:val="24"/>
                <w:szCs w:val="24"/>
                <w:lang w:eastAsia="pt-BR"/>
                <w14:ligatures w14:val="none"/>
              </w:rPr>
              <w:t>/201</w:t>
            </w:r>
            <w:r>
              <w:rPr>
                <w:rFonts w:ascii="Arial" w:eastAsia="Times New Roman" w:hAnsi="Arial" w:cs="Arial"/>
                <w:color w:val="000000"/>
                <w:kern w:val="0"/>
                <w:sz w:val="24"/>
                <w:szCs w:val="24"/>
                <w:lang w:eastAsia="pt-BR"/>
                <w14:ligatures w14:val="none"/>
              </w:rPr>
              <w:t>5</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hideMark/>
          </w:tcPr>
          <w:p w14:paraId="77801131" w14:textId="1014B39D" w:rsidR="00E3563C" w:rsidRPr="004F0908" w:rsidRDefault="002E498D"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Monitor</w:t>
            </w:r>
            <w:r w:rsidR="006573A6">
              <w:rPr>
                <w:rFonts w:ascii="Arial" w:eastAsia="Times New Roman" w:hAnsi="Arial" w:cs="Arial"/>
                <w:color w:val="000000"/>
                <w:kern w:val="0"/>
                <w:sz w:val="24"/>
                <w:szCs w:val="24"/>
                <w:lang w:eastAsia="pt-BR"/>
                <w14:ligatures w14:val="none"/>
              </w:rPr>
              <w:t>amento acerca de determinações feitas pelo TCU para correção de irregularidades nas obras do Anel Viário de Ji-Paraná/RO</w:t>
            </w:r>
          </w:p>
        </w:tc>
        <w:tc>
          <w:tcPr>
            <w:tcW w:w="2410" w:type="dxa"/>
            <w:tcBorders>
              <w:top w:val="nil"/>
              <w:left w:val="nil"/>
              <w:bottom w:val="single" w:sz="4" w:space="0" w:color="auto"/>
              <w:right w:val="single" w:sz="4" w:space="0" w:color="auto"/>
            </w:tcBorders>
            <w:shd w:val="clear" w:color="auto" w:fill="auto"/>
            <w:noWrap/>
            <w:vAlign w:val="center"/>
            <w:hideMark/>
          </w:tcPr>
          <w:p w14:paraId="075BA192" w14:textId="77777777" w:rsidR="00E3563C" w:rsidRDefault="006573A6"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Anel Viário</w:t>
            </w:r>
          </w:p>
          <w:p w14:paraId="072074BF" w14:textId="42181768" w:rsidR="006573A6" w:rsidRPr="004F0908" w:rsidRDefault="006573A6"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Obras de arte especiais (ponte</w:t>
            </w:r>
            <w:r w:rsidR="00A77DF8">
              <w:rPr>
                <w:rFonts w:ascii="Arial" w:eastAsia="Times New Roman" w:hAnsi="Arial" w:cs="Arial"/>
                <w:color w:val="000000"/>
                <w:kern w:val="0"/>
                <w:sz w:val="24"/>
                <w:szCs w:val="24"/>
                <w:lang w:eastAsia="pt-BR"/>
                <w14:ligatures w14:val="none"/>
              </w:rPr>
              <w:t xml:space="preserve"> em concreto armado e protendido</w:t>
            </w:r>
            <w:r>
              <w:rPr>
                <w:rFonts w:ascii="Arial" w:eastAsia="Times New Roman" w:hAnsi="Arial" w:cs="Arial"/>
                <w:color w:val="000000"/>
                <w:kern w:val="0"/>
                <w:sz w:val="24"/>
                <w:szCs w:val="24"/>
                <w:lang w:eastAsia="pt-BR"/>
                <w14:ligatures w14:val="none"/>
              </w:rPr>
              <w:t>)</w:t>
            </w:r>
          </w:p>
        </w:tc>
        <w:tc>
          <w:tcPr>
            <w:tcW w:w="2155" w:type="dxa"/>
            <w:tcBorders>
              <w:top w:val="single" w:sz="4" w:space="0" w:color="auto"/>
              <w:left w:val="nil"/>
              <w:bottom w:val="single" w:sz="4" w:space="0" w:color="auto"/>
            </w:tcBorders>
            <w:shd w:val="clear" w:color="auto" w:fill="auto"/>
            <w:noWrap/>
            <w:vAlign w:val="center"/>
            <w:hideMark/>
          </w:tcPr>
          <w:p w14:paraId="039E8A06" w14:textId="3624FD4F" w:rsidR="00A77DF8" w:rsidRDefault="00A77DF8"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Eflorescências</w:t>
            </w:r>
            <w:r w:rsidR="00082BD7">
              <w:rPr>
                <w:rFonts w:ascii="Arial" w:eastAsia="Times New Roman" w:hAnsi="Arial" w:cs="Arial"/>
                <w:color w:val="000000"/>
                <w:kern w:val="0"/>
                <w:sz w:val="24"/>
                <w:szCs w:val="24"/>
                <w:lang w:eastAsia="pt-BR"/>
                <w14:ligatures w14:val="none"/>
              </w:rPr>
              <w:t>;</w:t>
            </w:r>
          </w:p>
          <w:p w14:paraId="0807249B" w14:textId="4416908C" w:rsidR="00A77DF8" w:rsidRDefault="00A77DF8"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Manchas escuras</w:t>
            </w:r>
            <w:r w:rsidR="00082BD7">
              <w:rPr>
                <w:rFonts w:ascii="Arial" w:eastAsia="Times New Roman" w:hAnsi="Arial" w:cs="Arial"/>
                <w:color w:val="000000"/>
                <w:kern w:val="0"/>
                <w:sz w:val="24"/>
                <w:szCs w:val="24"/>
                <w:lang w:eastAsia="pt-BR"/>
                <w14:ligatures w14:val="none"/>
              </w:rPr>
              <w:t>;</w:t>
            </w:r>
          </w:p>
          <w:p w14:paraId="0F98A55C" w14:textId="30B42453" w:rsidR="0055479D" w:rsidRDefault="0055479D"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Juntas de dilatação sem preenchimento adequado</w:t>
            </w:r>
            <w:r w:rsidR="00082BD7">
              <w:rPr>
                <w:rFonts w:ascii="Arial" w:eastAsia="Times New Roman" w:hAnsi="Arial" w:cs="Arial"/>
                <w:color w:val="000000"/>
                <w:kern w:val="0"/>
                <w:sz w:val="24"/>
                <w:szCs w:val="24"/>
                <w:lang w:eastAsia="pt-BR"/>
                <w14:ligatures w14:val="none"/>
              </w:rPr>
              <w:t>;</w:t>
            </w:r>
          </w:p>
          <w:p w14:paraId="39E98E24" w14:textId="71FDCDE6" w:rsidR="0055479D" w:rsidRDefault="0055479D"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Erosão dos aterros dos encontros da ponte</w:t>
            </w:r>
            <w:r w:rsidR="00082BD7">
              <w:rPr>
                <w:rFonts w:ascii="Arial" w:eastAsia="Times New Roman" w:hAnsi="Arial" w:cs="Arial"/>
                <w:color w:val="000000"/>
                <w:kern w:val="0"/>
                <w:sz w:val="24"/>
                <w:szCs w:val="24"/>
                <w:lang w:eastAsia="pt-BR"/>
                <w14:ligatures w14:val="none"/>
              </w:rPr>
              <w:t>;</w:t>
            </w:r>
          </w:p>
          <w:p w14:paraId="37A3B521" w14:textId="30D0D9FB" w:rsidR="0055479D" w:rsidRPr="004F0908" w:rsidRDefault="0055479D" w:rsidP="004F0908">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Fissuras no pavimento</w:t>
            </w:r>
            <w:r w:rsidR="00082BD7">
              <w:rPr>
                <w:rFonts w:ascii="Arial" w:eastAsia="Times New Roman" w:hAnsi="Arial" w:cs="Arial"/>
                <w:color w:val="000000"/>
                <w:kern w:val="0"/>
                <w:sz w:val="24"/>
                <w:szCs w:val="24"/>
                <w:lang w:eastAsia="pt-BR"/>
                <w14:ligatures w14:val="none"/>
              </w:rPr>
              <w:t>.</w:t>
            </w:r>
          </w:p>
        </w:tc>
      </w:tr>
      <w:tr w:rsidR="00192E54" w:rsidRPr="004F0908" w14:paraId="4A557E34" w14:textId="77777777" w:rsidTr="00DA24CF">
        <w:trPr>
          <w:trHeight w:val="300"/>
        </w:trPr>
        <w:tc>
          <w:tcPr>
            <w:tcW w:w="1355" w:type="dxa"/>
            <w:tcBorders>
              <w:top w:val="single" w:sz="4" w:space="0" w:color="auto"/>
              <w:bottom w:val="single" w:sz="4" w:space="0" w:color="auto"/>
              <w:right w:val="single" w:sz="4" w:space="0" w:color="auto"/>
            </w:tcBorders>
            <w:shd w:val="clear" w:color="auto" w:fill="auto"/>
            <w:noWrap/>
            <w:vAlign w:val="center"/>
            <w:hideMark/>
          </w:tcPr>
          <w:p w14:paraId="0BB2796C" w14:textId="58460761" w:rsidR="00192E54" w:rsidRPr="004F0908" w:rsidRDefault="00192E54" w:rsidP="00192E54">
            <w:pPr>
              <w:spacing w:after="0" w:line="240" w:lineRule="auto"/>
              <w:rPr>
                <w:rFonts w:ascii="Arial" w:eastAsia="Times New Roman" w:hAnsi="Arial" w:cs="Arial"/>
                <w:color w:val="000000"/>
                <w:kern w:val="0"/>
                <w:sz w:val="24"/>
                <w:szCs w:val="24"/>
                <w:lang w:eastAsia="pt-BR"/>
                <w14:ligatures w14:val="none"/>
              </w:rPr>
            </w:pPr>
            <w:r w:rsidRPr="004F0908">
              <w:rPr>
                <w:rFonts w:ascii="Arial" w:eastAsia="Times New Roman" w:hAnsi="Arial" w:cs="Arial"/>
                <w:color w:val="000000"/>
                <w:kern w:val="0"/>
                <w:sz w:val="24"/>
                <w:szCs w:val="24"/>
                <w:lang w:eastAsia="pt-BR"/>
                <w14:ligatures w14:val="none"/>
              </w:rPr>
              <w:t>11</w:t>
            </w:r>
            <w:r>
              <w:rPr>
                <w:rFonts w:ascii="Arial" w:eastAsia="Times New Roman" w:hAnsi="Arial" w:cs="Arial"/>
                <w:color w:val="000000"/>
                <w:kern w:val="0"/>
                <w:sz w:val="24"/>
                <w:szCs w:val="24"/>
                <w:lang w:eastAsia="pt-BR"/>
                <w14:ligatures w14:val="none"/>
              </w:rPr>
              <w:t>68</w:t>
            </w:r>
            <w:r w:rsidRPr="004F0908">
              <w:rPr>
                <w:rFonts w:ascii="Arial" w:eastAsia="Times New Roman" w:hAnsi="Arial" w:cs="Arial"/>
                <w:color w:val="000000"/>
                <w:kern w:val="0"/>
                <w:sz w:val="24"/>
                <w:szCs w:val="24"/>
                <w:lang w:eastAsia="pt-BR"/>
                <w14:ligatures w14:val="none"/>
              </w:rPr>
              <w:t>/20</w:t>
            </w:r>
            <w:r>
              <w:rPr>
                <w:rFonts w:ascii="Arial" w:eastAsia="Times New Roman" w:hAnsi="Arial" w:cs="Arial"/>
                <w:color w:val="000000"/>
                <w:kern w:val="0"/>
                <w:sz w:val="24"/>
                <w:szCs w:val="24"/>
                <w:lang w:eastAsia="pt-BR"/>
                <w14:ligatures w14:val="none"/>
              </w:rPr>
              <w:t>14</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noWrap/>
            <w:vAlign w:val="center"/>
            <w:hideMark/>
          </w:tcPr>
          <w:p w14:paraId="58E8DEFA" w14:textId="03517578" w:rsidR="00192E54" w:rsidRPr="004F0908" w:rsidRDefault="00192E54"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Auditoria com o objetivo de avaliar a qualidade de obras de restauração de trecho rodoviário da BR-267/MS – km 185,38 a 248,68</w:t>
            </w:r>
          </w:p>
        </w:tc>
        <w:tc>
          <w:tcPr>
            <w:tcW w:w="2410" w:type="dxa"/>
            <w:tcBorders>
              <w:top w:val="nil"/>
              <w:left w:val="nil"/>
              <w:bottom w:val="single" w:sz="4" w:space="0" w:color="auto"/>
              <w:right w:val="single" w:sz="4" w:space="0" w:color="auto"/>
            </w:tcBorders>
            <w:shd w:val="clear" w:color="auto" w:fill="auto"/>
            <w:noWrap/>
            <w:vAlign w:val="center"/>
            <w:hideMark/>
          </w:tcPr>
          <w:p w14:paraId="78BF063E" w14:textId="5B30A899" w:rsidR="00192E54" w:rsidRPr="004F0908" w:rsidRDefault="00192E54"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Rodovia federal em pavimento flexível</w:t>
            </w:r>
          </w:p>
        </w:tc>
        <w:tc>
          <w:tcPr>
            <w:tcW w:w="2155" w:type="dxa"/>
            <w:tcBorders>
              <w:top w:val="single" w:sz="4" w:space="0" w:color="auto"/>
              <w:left w:val="nil"/>
              <w:bottom w:val="single" w:sz="4" w:space="0" w:color="auto"/>
            </w:tcBorders>
            <w:shd w:val="clear" w:color="auto" w:fill="auto"/>
            <w:noWrap/>
            <w:vAlign w:val="center"/>
            <w:hideMark/>
          </w:tcPr>
          <w:p w14:paraId="4295B54B" w14:textId="57473B8A" w:rsidR="00192E54" w:rsidRDefault="00974579"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Trincas longitudinais</w:t>
            </w:r>
            <w:r w:rsidR="00082BD7">
              <w:rPr>
                <w:rFonts w:ascii="Arial" w:eastAsia="Times New Roman" w:hAnsi="Arial" w:cs="Arial"/>
                <w:color w:val="000000"/>
                <w:kern w:val="0"/>
                <w:sz w:val="24"/>
                <w:szCs w:val="24"/>
                <w:lang w:eastAsia="pt-BR"/>
                <w14:ligatures w14:val="none"/>
              </w:rPr>
              <w:t>;</w:t>
            </w:r>
          </w:p>
          <w:p w14:paraId="0E2C05FA" w14:textId="72A6B46A" w:rsidR="00C8104F" w:rsidRPr="004F0908" w:rsidRDefault="00C8104F"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Capacidade estrutural deficiente</w:t>
            </w:r>
            <w:r w:rsidR="00082BD7">
              <w:rPr>
                <w:rFonts w:ascii="Arial" w:eastAsia="Times New Roman" w:hAnsi="Arial" w:cs="Arial"/>
                <w:color w:val="000000"/>
                <w:kern w:val="0"/>
                <w:sz w:val="24"/>
                <w:szCs w:val="24"/>
                <w:lang w:eastAsia="pt-BR"/>
                <w14:ligatures w14:val="none"/>
              </w:rPr>
              <w:t>.</w:t>
            </w:r>
          </w:p>
        </w:tc>
      </w:tr>
      <w:tr w:rsidR="00192E54" w:rsidRPr="004F0908" w14:paraId="49D67FF1" w14:textId="77777777" w:rsidTr="00DA24CF">
        <w:trPr>
          <w:trHeight w:val="600"/>
        </w:trPr>
        <w:tc>
          <w:tcPr>
            <w:tcW w:w="1355" w:type="dxa"/>
            <w:tcBorders>
              <w:top w:val="single" w:sz="4" w:space="0" w:color="auto"/>
              <w:bottom w:val="single" w:sz="4" w:space="0" w:color="auto"/>
              <w:right w:val="single" w:sz="4" w:space="0" w:color="auto"/>
            </w:tcBorders>
            <w:shd w:val="clear" w:color="auto" w:fill="auto"/>
            <w:noWrap/>
            <w:vAlign w:val="center"/>
            <w:hideMark/>
          </w:tcPr>
          <w:p w14:paraId="4CD76868" w14:textId="0235DEE8" w:rsidR="00192E54" w:rsidRPr="004F0908" w:rsidRDefault="00192E54" w:rsidP="00192E54">
            <w:pPr>
              <w:spacing w:after="0" w:line="240" w:lineRule="auto"/>
              <w:rPr>
                <w:rFonts w:ascii="Arial" w:eastAsia="Times New Roman" w:hAnsi="Arial" w:cs="Arial"/>
                <w:color w:val="000000"/>
                <w:kern w:val="0"/>
                <w:sz w:val="24"/>
                <w:szCs w:val="24"/>
                <w:lang w:eastAsia="pt-BR"/>
                <w14:ligatures w14:val="none"/>
              </w:rPr>
            </w:pPr>
            <w:r w:rsidRPr="004F0908">
              <w:rPr>
                <w:rFonts w:ascii="Arial" w:eastAsia="Times New Roman" w:hAnsi="Arial" w:cs="Arial"/>
                <w:color w:val="000000"/>
                <w:kern w:val="0"/>
                <w:sz w:val="24"/>
                <w:szCs w:val="24"/>
                <w:lang w:eastAsia="pt-BR"/>
                <w14:ligatures w14:val="none"/>
              </w:rPr>
              <w:t>1</w:t>
            </w:r>
            <w:r>
              <w:rPr>
                <w:rFonts w:ascii="Arial" w:eastAsia="Times New Roman" w:hAnsi="Arial" w:cs="Arial"/>
                <w:color w:val="000000"/>
                <w:kern w:val="0"/>
                <w:sz w:val="24"/>
                <w:szCs w:val="24"/>
                <w:lang w:eastAsia="pt-BR"/>
                <w14:ligatures w14:val="none"/>
              </w:rPr>
              <w:t>101</w:t>
            </w:r>
            <w:r w:rsidRPr="004F0908">
              <w:rPr>
                <w:rFonts w:ascii="Arial" w:eastAsia="Times New Roman" w:hAnsi="Arial" w:cs="Arial"/>
                <w:color w:val="000000"/>
                <w:kern w:val="0"/>
                <w:sz w:val="24"/>
                <w:szCs w:val="24"/>
                <w:lang w:eastAsia="pt-BR"/>
                <w14:ligatures w14:val="none"/>
              </w:rPr>
              <w:t>/201</w:t>
            </w:r>
            <w:r>
              <w:rPr>
                <w:rFonts w:ascii="Arial" w:eastAsia="Times New Roman" w:hAnsi="Arial" w:cs="Arial"/>
                <w:color w:val="000000"/>
                <w:kern w:val="0"/>
                <w:sz w:val="24"/>
                <w:szCs w:val="24"/>
                <w:lang w:eastAsia="pt-BR"/>
                <w14:ligatures w14:val="none"/>
              </w:rPr>
              <w:t>4</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hideMark/>
          </w:tcPr>
          <w:p w14:paraId="7ECD3D9C" w14:textId="4F6BDD6D" w:rsidR="00192E54" w:rsidRPr="004F0908" w:rsidRDefault="00147940"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 xml:space="preserve">Consolidação </w:t>
            </w:r>
            <w:r w:rsidR="002C2BF0">
              <w:rPr>
                <w:rFonts w:ascii="Arial" w:eastAsia="Times New Roman" w:hAnsi="Arial" w:cs="Arial"/>
                <w:color w:val="000000"/>
                <w:kern w:val="0"/>
                <w:sz w:val="24"/>
                <w:szCs w:val="24"/>
                <w:lang w:eastAsia="pt-BR"/>
                <w14:ligatures w14:val="none"/>
              </w:rPr>
              <w:t>de diversas auditorias relativas à qualidade construtiva de obras de construção de Unidades de Pronto Atendimento (UPA)</w:t>
            </w:r>
            <w:r w:rsidR="004D15C3">
              <w:rPr>
                <w:rFonts w:ascii="Arial" w:eastAsia="Times New Roman" w:hAnsi="Arial" w:cs="Arial"/>
                <w:color w:val="000000"/>
                <w:kern w:val="0"/>
                <w:sz w:val="24"/>
                <w:szCs w:val="24"/>
                <w:lang w:eastAsia="pt-BR"/>
                <w14:ligatures w14:val="none"/>
              </w:rPr>
              <w:t xml:space="preserve"> em diversas Unidades da Federação</w:t>
            </w:r>
          </w:p>
        </w:tc>
        <w:tc>
          <w:tcPr>
            <w:tcW w:w="2410" w:type="dxa"/>
            <w:tcBorders>
              <w:top w:val="nil"/>
              <w:left w:val="nil"/>
              <w:bottom w:val="single" w:sz="4" w:space="0" w:color="auto"/>
              <w:right w:val="single" w:sz="4" w:space="0" w:color="auto"/>
            </w:tcBorders>
            <w:shd w:val="clear" w:color="auto" w:fill="auto"/>
            <w:noWrap/>
            <w:vAlign w:val="center"/>
            <w:hideMark/>
          </w:tcPr>
          <w:p w14:paraId="22C19617" w14:textId="6603CC07" w:rsidR="00192E54" w:rsidRPr="004F0908" w:rsidRDefault="002C2BF0"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Unidades de saúde</w:t>
            </w:r>
          </w:p>
        </w:tc>
        <w:tc>
          <w:tcPr>
            <w:tcW w:w="2155" w:type="dxa"/>
            <w:tcBorders>
              <w:top w:val="single" w:sz="4" w:space="0" w:color="auto"/>
              <w:left w:val="nil"/>
              <w:bottom w:val="single" w:sz="4" w:space="0" w:color="auto"/>
            </w:tcBorders>
            <w:shd w:val="clear" w:color="auto" w:fill="auto"/>
            <w:noWrap/>
            <w:vAlign w:val="center"/>
            <w:hideMark/>
          </w:tcPr>
          <w:p w14:paraId="7D81CEAF" w14:textId="00643F26" w:rsidR="00192E54"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Rodapés soltos e quebrados</w:t>
            </w:r>
            <w:r w:rsidR="00082BD7">
              <w:rPr>
                <w:rFonts w:ascii="Arial" w:eastAsia="Times New Roman" w:hAnsi="Arial" w:cs="Arial"/>
                <w:color w:val="000000"/>
                <w:kern w:val="0"/>
                <w:sz w:val="24"/>
                <w:szCs w:val="24"/>
                <w:lang w:eastAsia="pt-BR"/>
                <w14:ligatures w14:val="none"/>
              </w:rPr>
              <w:t>;</w:t>
            </w:r>
          </w:p>
          <w:p w14:paraId="17976DF6" w14:textId="20D73301" w:rsidR="001F131D"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Fissuras</w:t>
            </w:r>
            <w:r w:rsidR="00082BD7">
              <w:rPr>
                <w:rFonts w:ascii="Arial" w:eastAsia="Times New Roman" w:hAnsi="Arial" w:cs="Arial"/>
                <w:color w:val="000000"/>
                <w:kern w:val="0"/>
                <w:sz w:val="24"/>
                <w:szCs w:val="24"/>
                <w:lang w:eastAsia="pt-BR"/>
                <w14:ligatures w14:val="none"/>
              </w:rPr>
              <w:t>;</w:t>
            </w:r>
          </w:p>
          <w:p w14:paraId="599A5421" w14:textId="7ACC688E" w:rsidR="001F131D"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Descascamento de pintura</w:t>
            </w:r>
            <w:r w:rsidR="00082BD7">
              <w:rPr>
                <w:rFonts w:ascii="Arial" w:eastAsia="Times New Roman" w:hAnsi="Arial" w:cs="Arial"/>
                <w:color w:val="000000"/>
                <w:kern w:val="0"/>
                <w:sz w:val="24"/>
                <w:szCs w:val="24"/>
                <w:lang w:eastAsia="pt-BR"/>
                <w14:ligatures w14:val="none"/>
              </w:rPr>
              <w:t>;</w:t>
            </w:r>
          </w:p>
          <w:p w14:paraId="542D2210" w14:textId="0ED40AD9" w:rsidR="001F131D"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Infiltrações</w:t>
            </w:r>
            <w:r w:rsidR="00082BD7">
              <w:rPr>
                <w:rFonts w:ascii="Arial" w:eastAsia="Times New Roman" w:hAnsi="Arial" w:cs="Arial"/>
                <w:color w:val="000000"/>
                <w:kern w:val="0"/>
                <w:sz w:val="24"/>
                <w:szCs w:val="24"/>
                <w:lang w:eastAsia="pt-BR"/>
                <w14:ligatures w14:val="none"/>
              </w:rPr>
              <w:t>;</w:t>
            </w:r>
          </w:p>
          <w:p w14:paraId="6EC8186A" w14:textId="77B0D2A9" w:rsidR="001F131D"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Corrosões</w:t>
            </w:r>
            <w:r w:rsidR="00082BD7">
              <w:rPr>
                <w:rFonts w:ascii="Arial" w:eastAsia="Times New Roman" w:hAnsi="Arial" w:cs="Arial"/>
                <w:color w:val="000000"/>
                <w:kern w:val="0"/>
                <w:sz w:val="24"/>
                <w:szCs w:val="24"/>
                <w:lang w:eastAsia="pt-BR"/>
                <w14:ligatures w14:val="none"/>
              </w:rPr>
              <w:t>;</w:t>
            </w:r>
          </w:p>
          <w:p w14:paraId="778F59AA" w14:textId="558EA790" w:rsidR="001F131D" w:rsidRPr="004F0908"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Afundamento de pisos</w:t>
            </w:r>
            <w:r w:rsidR="00082BD7">
              <w:rPr>
                <w:rFonts w:ascii="Arial" w:eastAsia="Times New Roman" w:hAnsi="Arial" w:cs="Arial"/>
                <w:color w:val="000000"/>
                <w:kern w:val="0"/>
                <w:sz w:val="24"/>
                <w:szCs w:val="24"/>
                <w:lang w:eastAsia="pt-BR"/>
                <w14:ligatures w14:val="none"/>
              </w:rPr>
              <w:t>.</w:t>
            </w:r>
          </w:p>
        </w:tc>
      </w:tr>
      <w:tr w:rsidR="00192E54" w:rsidRPr="004F0908" w14:paraId="6C9F4E19" w14:textId="77777777" w:rsidTr="00DA24CF">
        <w:trPr>
          <w:trHeight w:val="600"/>
        </w:trPr>
        <w:tc>
          <w:tcPr>
            <w:tcW w:w="1355" w:type="dxa"/>
            <w:tcBorders>
              <w:top w:val="single" w:sz="4" w:space="0" w:color="auto"/>
              <w:bottom w:val="single" w:sz="4" w:space="0" w:color="auto"/>
              <w:right w:val="single" w:sz="4" w:space="0" w:color="auto"/>
            </w:tcBorders>
            <w:shd w:val="clear" w:color="auto" w:fill="auto"/>
            <w:noWrap/>
            <w:vAlign w:val="center"/>
          </w:tcPr>
          <w:p w14:paraId="67A14563" w14:textId="6C636623" w:rsidR="00192E54" w:rsidRPr="004F0908" w:rsidRDefault="00192E54"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lastRenderedPageBreak/>
              <w:t>524/2014-TCU-Plenário</w:t>
            </w:r>
          </w:p>
        </w:tc>
        <w:tc>
          <w:tcPr>
            <w:tcW w:w="3181" w:type="dxa"/>
            <w:tcBorders>
              <w:top w:val="nil"/>
              <w:left w:val="nil"/>
              <w:bottom w:val="single" w:sz="4" w:space="0" w:color="auto"/>
              <w:right w:val="single" w:sz="4" w:space="0" w:color="auto"/>
            </w:tcBorders>
            <w:shd w:val="clear" w:color="auto" w:fill="auto"/>
            <w:vAlign w:val="center"/>
          </w:tcPr>
          <w:p w14:paraId="30EFE811" w14:textId="2EB9D8C5" w:rsidR="00192E54" w:rsidRPr="004F0908"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Auditoria operacional no Programa Minha Casa, Minha Vida</w:t>
            </w:r>
          </w:p>
        </w:tc>
        <w:tc>
          <w:tcPr>
            <w:tcW w:w="2410" w:type="dxa"/>
            <w:tcBorders>
              <w:top w:val="nil"/>
              <w:left w:val="nil"/>
              <w:bottom w:val="single" w:sz="4" w:space="0" w:color="auto"/>
              <w:right w:val="single" w:sz="4" w:space="0" w:color="auto"/>
            </w:tcBorders>
            <w:shd w:val="clear" w:color="auto" w:fill="auto"/>
            <w:noWrap/>
            <w:vAlign w:val="center"/>
          </w:tcPr>
          <w:p w14:paraId="7EA6ACBD" w14:textId="506DB71F" w:rsidR="00192E54" w:rsidRPr="004F0908" w:rsidRDefault="001F131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Condomínios habitacionais populares</w:t>
            </w:r>
          </w:p>
        </w:tc>
        <w:tc>
          <w:tcPr>
            <w:tcW w:w="2155" w:type="dxa"/>
            <w:tcBorders>
              <w:top w:val="single" w:sz="4" w:space="0" w:color="auto"/>
              <w:left w:val="nil"/>
              <w:bottom w:val="single" w:sz="4" w:space="0" w:color="auto"/>
            </w:tcBorders>
            <w:shd w:val="clear" w:color="auto" w:fill="auto"/>
            <w:noWrap/>
            <w:vAlign w:val="center"/>
          </w:tcPr>
          <w:p w14:paraId="4757966B" w14:textId="5CBF170D" w:rsidR="00192E54" w:rsidRDefault="00032D52"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Vazamentos</w:t>
            </w:r>
            <w:r w:rsidR="00082BD7">
              <w:rPr>
                <w:rFonts w:ascii="Arial" w:eastAsia="Times New Roman" w:hAnsi="Arial" w:cs="Arial"/>
                <w:color w:val="000000"/>
                <w:kern w:val="0"/>
                <w:sz w:val="24"/>
                <w:szCs w:val="24"/>
                <w:lang w:eastAsia="pt-BR"/>
                <w14:ligatures w14:val="none"/>
              </w:rPr>
              <w:t>;</w:t>
            </w:r>
          </w:p>
          <w:p w14:paraId="2C78BB7A" w14:textId="29E44276" w:rsidR="00032D52" w:rsidRDefault="00032D52"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Infiltrações em paredes, pisos ou tetos</w:t>
            </w:r>
            <w:r w:rsidR="00082BD7">
              <w:rPr>
                <w:rFonts w:ascii="Arial" w:eastAsia="Times New Roman" w:hAnsi="Arial" w:cs="Arial"/>
                <w:color w:val="000000"/>
                <w:kern w:val="0"/>
                <w:sz w:val="24"/>
                <w:szCs w:val="24"/>
                <w:lang w:eastAsia="pt-BR"/>
                <w14:ligatures w14:val="none"/>
              </w:rPr>
              <w:t>;</w:t>
            </w:r>
          </w:p>
          <w:p w14:paraId="5383786B" w14:textId="34D6828F" w:rsidR="00032D52" w:rsidRDefault="00D87A7F"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Fissuras e trincas em paredes, pisos ou tetos</w:t>
            </w:r>
            <w:r w:rsidR="00082BD7">
              <w:rPr>
                <w:rFonts w:ascii="Arial" w:eastAsia="Times New Roman" w:hAnsi="Arial" w:cs="Arial"/>
                <w:color w:val="000000"/>
                <w:kern w:val="0"/>
                <w:sz w:val="24"/>
                <w:szCs w:val="24"/>
                <w:lang w:eastAsia="pt-BR"/>
                <w14:ligatures w14:val="none"/>
              </w:rPr>
              <w:t>;</w:t>
            </w:r>
          </w:p>
          <w:p w14:paraId="651938A8" w14:textId="245B6BB0" w:rsidR="00D87A7F" w:rsidRDefault="00D87A7F"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Defeitos na fixação de portas ou janelas</w:t>
            </w:r>
            <w:r w:rsidR="00082BD7">
              <w:rPr>
                <w:rFonts w:ascii="Arial" w:eastAsia="Times New Roman" w:hAnsi="Arial" w:cs="Arial"/>
                <w:color w:val="000000"/>
                <w:kern w:val="0"/>
                <w:sz w:val="24"/>
                <w:szCs w:val="24"/>
                <w:lang w:eastAsia="pt-BR"/>
                <w14:ligatures w14:val="none"/>
              </w:rPr>
              <w:t>;</w:t>
            </w:r>
          </w:p>
          <w:p w14:paraId="6B7B19F2" w14:textId="623EFA34" w:rsidR="00D87A7F" w:rsidRPr="004F0908" w:rsidRDefault="00C57714"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Indisponibilidade de equipamentos de lazer ou de uso comum</w:t>
            </w:r>
            <w:r w:rsidR="00082BD7">
              <w:rPr>
                <w:rFonts w:ascii="Arial" w:eastAsia="Times New Roman" w:hAnsi="Arial" w:cs="Arial"/>
                <w:color w:val="000000"/>
                <w:kern w:val="0"/>
                <w:sz w:val="24"/>
                <w:szCs w:val="24"/>
                <w:lang w:eastAsia="pt-BR"/>
                <w14:ligatures w14:val="none"/>
              </w:rPr>
              <w:t>.</w:t>
            </w:r>
          </w:p>
        </w:tc>
      </w:tr>
      <w:tr w:rsidR="00192E54" w:rsidRPr="004F0908" w14:paraId="4BA2D3A5" w14:textId="77777777" w:rsidTr="00DA24CF">
        <w:trPr>
          <w:trHeight w:val="600"/>
        </w:trPr>
        <w:tc>
          <w:tcPr>
            <w:tcW w:w="1355" w:type="dxa"/>
            <w:tcBorders>
              <w:top w:val="single" w:sz="4" w:space="0" w:color="auto"/>
              <w:bottom w:val="single" w:sz="4" w:space="0" w:color="auto"/>
              <w:right w:val="single" w:sz="4" w:space="0" w:color="auto"/>
            </w:tcBorders>
            <w:shd w:val="clear" w:color="auto" w:fill="auto"/>
            <w:noWrap/>
            <w:vAlign w:val="center"/>
          </w:tcPr>
          <w:p w14:paraId="26EE68EE" w14:textId="4CBFBB65" w:rsidR="00192E54" w:rsidRPr="004F0908" w:rsidRDefault="00192E54"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2760/2010-TCU-Plenário</w:t>
            </w:r>
          </w:p>
        </w:tc>
        <w:tc>
          <w:tcPr>
            <w:tcW w:w="3181" w:type="dxa"/>
            <w:tcBorders>
              <w:top w:val="nil"/>
              <w:left w:val="nil"/>
              <w:bottom w:val="single" w:sz="4" w:space="0" w:color="auto"/>
              <w:right w:val="single" w:sz="4" w:space="0" w:color="auto"/>
            </w:tcBorders>
            <w:shd w:val="clear" w:color="auto" w:fill="auto"/>
            <w:vAlign w:val="center"/>
          </w:tcPr>
          <w:p w14:paraId="233C275D" w14:textId="730180B9" w:rsidR="00192E54" w:rsidRPr="004F0908" w:rsidRDefault="00A02CB1"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Auditoria nas obras de construção do anel rodoviário na BR-364/AC, em Rio Branco/AC</w:t>
            </w:r>
          </w:p>
        </w:tc>
        <w:tc>
          <w:tcPr>
            <w:tcW w:w="2410" w:type="dxa"/>
            <w:tcBorders>
              <w:top w:val="nil"/>
              <w:left w:val="nil"/>
              <w:bottom w:val="single" w:sz="4" w:space="0" w:color="auto"/>
              <w:right w:val="single" w:sz="4" w:space="0" w:color="auto"/>
            </w:tcBorders>
            <w:shd w:val="clear" w:color="auto" w:fill="auto"/>
            <w:noWrap/>
            <w:vAlign w:val="center"/>
          </w:tcPr>
          <w:p w14:paraId="55BED767" w14:textId="40EAF7E9" w:rsidR="00192E54" w:rsidRPr="004F0908" w:rsidRDefault="00A02CB1"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Anel viário</w:t>
            </w:r>
          </w:p>
        </w:tc>
        <w:tc>
          <w:tcPr>
            <w:tcW w:w="2155" w:type="dxa"/>
            <w:tcBorders>
              <w:top w:val="single" w:sz="4" w:space="0" w:color="auto"/>
              <w:left w:val="nil"/>
              <w:bottom w:val="single" w:sz="4" w:space="0" w:color="auto"/>
            </w:tcBorders>
            <w:shd w:val="clear" w:color="auto" w:fill="auto"/>
            <w:noWrap/>
            <w:vAlign w:val="center"/>
          </w:tcPr>
          <w:p w14:paraId="083F325F" w14:textId="251190BB" w:rsidR="00192E54" w:rsidRDefault="00975A09"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Panelas</w:t>
            </w:r>
            <w:r w:rsidR="00082BD7">
              <w:rPr>
                <w:rFonts w:ascii="Arial" w:eastAsia="Times New Roman" w:hAnsi="Arial" w:cs="Arial"/>
                <w:color w:val="000000"/>
                <w:kern w:val="0"/>
                <w:sz w:val="24"/>
                <w:szCs w:val="24"/>
                <w:lang w:eastAsia="pt-BR"/>
                <w14:ligatures w14:val="none"/>
              </w:rPr>
              <w:t>;</w:t>
            </w:r>
          </w:p>
          <w:p w14:paraId="5DF8545E" w14:textId="2DEA28BB" w:rsidR="00975A09" w:rsidRDefault="00975A09"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Trincas</w:t>
            </w:r>
            <w:r w:rsidR="00082BD7">
              <w:rPr>
                <w:rFonts w:ascii="Arial" w:eastAsia="Times New Roman" w:hAnsi="Arial" w:cs="Arial"/>
                <w:color w:val="000000"/>
                <w:kern w:val="0"/>
                <w:sz w:val="24"/>
                <w:szCs w:val="24"/>
                <w:lang w:eastAsia="pt-BR"/>
                <w14:ligatures w14:val="none"/>
              </w:rPr>
              <w:t>;</w:t>
            </w:r>
          </w:p>
          <w:p w14:paraId="2AC4F216" w14:textId="0B295CC3" w:rsidR="00975A09" w:rsidRDefault="00975A09"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Depressões</w:t>
            </w:r>
            <w:r w:rsidR="00082BD7">
              <w:rPr>
                <w:rFonts w:ascii="Arial" w:eastAsia="Times New Roman" w:hAnsi="Arial" w:cs="Arial"/>
                <w:color w:val="000000"/>
                <w:kern w:val="0"/>
                <w:sz w:val="24"/>
                <w:szCs w:val="24"/>
                <w:lang w:eastAsia="pt-BR"/>
                <w14:ligatures w14:val="none"/>
              </w:rPr>
              <w:t>;</w:t>
            </w:r>
          </w:p>
          <w:p w14:paraId="47776D24" w14:textId="56C20410" w:rsidR="00975A09" w:rsidRPr="004F0908" w:rsidRDefault="00975A09"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Remendos</w:t>
            </w:r>
            <w:r w:rsidR="00082BD7">
              <w:rPr>
                <w:rFonts w:ascii="Arial" w:eastAsia="Times New Roman" w:hAnsi="Arial" w:cs="Arial"/>
                <w:color w:val="000000"/>
                <w:kern w:val="0"/>
                <w:sz w:val="24"/>
                <w:szCs w:val="24"/>
                <w:lang w:eastAsia="pt-BR"/>
                <w14:ligatures w14:val="none"/>
              </w:rPr>
              <w:t>.</w:t>
            </w:r>
          </w:p>
        </w:tc>
      </w:tr>
      <w:tr w:rsidR="00192E54" w:rsidRPr="004F0908" w14:paraId="531511F8" w14:textId="77777777" w:rsidTr="00DA24CF">
        <w:trPr>
          <w:trHeight w:val="600"/>
        </w:trPr>
        <w:tc>
          <w:tcPr>
            <w:tcW w:w="1355" w:type="dxa"/>
            <w:tcBorders>
              <w:top w:val="single" w:sz="4" w:space="0" w:color="auto"/>
              <w:bottom w:val="single" w:sz="4" w:space="0" w:color="auto"/>
              <w:right w:val="single" w:sz="4" w:space="0" w:color="auto"/>
            </w:tcBorders>
            <w:shd w:val="clear" w:color="auto" w:fill="auto"/>
            <w:noWrap/>
            <w:vAlign w:val="center"/>
            <w:hideMark/>
          </w:tcPr>
          <w:p w14:paraId="44F71585" w14:textId="43C4D756" w:rsidR="00192E54" w:rsidRPr="004F0908" w:rsidRDefault="00192E54"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1025/2004</w:t>
            </w:r>
            <w:r w:rsidRPr="004F0908">
              <w:rPr>
                <w:rFonts w:ascii="Arial" w:eastAsia="Times New Roman" w:hAnsi="Arial" w:cs="Arial"/>
                <w:color w:val="000000"/>
                <w:kern w:val="0"/>
                <w:sz w:val="24"/>
                <w:szCs w:val="24"/>
                <w:lang w:eastAsia="pt-BR"/>
                <w14:ligatures w14:val="none"/>
              </w:rPr>
              <w:t>-TCU-Plenário</w:t>
            </w:r>
          </w:p>
        </w:tc>
        <w:tc>
          <w:tcPr>
            <w:tcW w:w="3181" w:type="dxa"/>
            <w:tcBorders>
              <w:top w:val="nil"/>
              <w:left w:val="nil"/>
              <w:bottom w:val="single" w:sz="4" w:space="0" w:color="auto"/>
              <w:right w:val="single" w:sz="4" w:space="0" w:color="auto"/>
            </w:tcBorders>
            <w:shd w:val="clear" w:color="auto" w:fill="auto"/>
            <w:vAlign w:val="center"/>
            <w:hideMark/>
          </w:tcPr>
          <w:p w14:paraId="56016868" w14:textId="2B9A3D71" w:rsidR="00192E54" w:rsidRPr="004F0908" w:rsidRDefault="002E0086"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Auditoria em operações de financiamento de empreendimentos imobiliários de habitação pela Caixa Econômica Federal</w:t>
            </w:r>
          </w:p>
        </w:tc>
        <w:tc>
          <w:tcPr>
            <w:tcW w:w="2410" w:type="dxa"/>
            <w:tcBorders>
              <w:top w:val="nil"/>
              <w:left w:val="nil"/>
              <w:bottom w:val="single" w:sz="4" w:space="0" w:color="auto"/>
              <w:right w:val="single" w:sz="4" w:space="0" w:color="auto"/>
            </w:tcBorders>
            <w:shd w:val="clear" w:color="auto" w:fill="auto"/>
            <w:noWrap/>
            <w:vAlign w:val="center"/>
            <w:hideMark/>
          </w:tcPr>
          <w:p w14:paraId="0F0F3680" w14:textId="5295E5E6" w:rsidR="00192E54" w:rsidRPr="004F0908" w:rsidRDefault="003671E7"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Condomínio habitacional em Volta Redonda/RJ</w:t>
            </w:r>
          </w:p>
        </w:tc>
        <w:tc>
          <w:tcPr>
            <w:tcW w:w="2155" w:type="dxa"/>
            <w:tcBorders>
              <w:top w:val="single" w:sz="4" w:space="0" w:color="auto"/>
              <w:left w:val="nil"/>
              <w:bottom w:val="single" w:sz="4" w:space="0" w:color="auto"/>
            </w:tcBorders>
            <w:shd w:val="clear" w:color="auto" w:fill="auto"/>
            <w:noWrap/>
            <w:vAlign w:val="center"/>
            <w:hideMark/>
          </w:tcPr>
          <w:p w14:paraId="1B107B1F" w14:textId="6C22B3E0" w:rsidR="00192E54" w:rsidRDefault="00002BF6"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Trincas</w:t>
            </w:r>
            <w:r w:rsidR="00082BD7">
              <w:rPr>
                <w:rFonts w:ascii="Arial" w:eastAsia="Times New Roman" w:hAnsi="Arial" w:cs="Arial"/>
                <w:color w:val="000000"/>
                <w:kern w:val="0"/>
                <w:sz w:val="24"/>
                <w:szCs w:val="24"/>
                <w:lang w:eastAsia="pt-BR"/>
                <w14:ligatures w14:val="none"/>
              </w:rPr>
              <w:t>;</w:t>
            </w:r>
          </w:p>
          <w:p w14:paraId="1606AED5" w14:textId="0A5B95F5" w:rsidR="00002BF6" w:rsidRDefault="00002BF6"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Fissuras</w:t>
            </w:r>
            <w:r w:rsidR="00082BD7">
              <w:rPr>
                <w:rFonts w:ascii="Arial" w:eastAsia="Times New Roman" w:hAnsi="Arial" w:cs="Arial"/>
                <w:color w:val="000000"/>
                <w:kern w:val="0"/>
                <w:sz w:val="24"/>
                <w:szCs w:val="24"/>
                <w:lang w:eastAsia="pt-BR"/>
                <w14:ligatures w14:val="none"/>
              </w:rPr>
              <w:t>;</w:t>
            </w:r>
          </w:p>
          <w:p w14:paraId="37F96811" w14:textId="76949BF6" w:rsidR="00C77F3D" w:rsidRDefault="00C77F3D"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Infiltrações</w:t>
            </w:r>
            <w:r w:rsidR="00313D4C">
              <w:rPr>
                <w:rFonts w:ascii="Arial" w:eastAsia="Times New Roman" w:hAnsi="Arial" w:cs="Arial"/>
                <w:color w:val="000000"/>
                <w:kern w:val="0"/>
                <w:sz w:val="24"/>
                <w:szCs w:val="24"/>
                <w:lang w:eastAsia="pt-BR"/>
                <w14:ligatures w14:val="none"/>
              </w:rPr>
              <w:t xml:space="preserve"> no rodapé das paredes</w:t>
            </w:r>
            <w:r w:rsidR="00082BD7">
              <w:rPr>
                <w:rFonts w:ascii="Arial" w:eastAsia="Times New Roman" w:hAnsi="Arial" w:cs="Arial"/>
                <w:color w:val="000000"/>
                <w:kern w:val="0"/>
                <w:sz w:val="24"/>
                <w:szCs w:val="24"/>
                <w:lang w:eastAsia="pt-BR"/>
                <w14:ligatures w14:val="none"/>
              </w:rPr>
              <w:t>;</w:t>
            </w:r>
          </w:p>
          <w:p w14:paraId="3CEF9C55" w14:textId="3E3022E7" w:rsidR="00313D4C" w:rsidRDefault="00313D4C"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Recalques excessivos</w:t>
            </w:r>
            <w:r w:rsidR="00082BD7">
              <w:rPr>
                <w:rFonts w:ascii="Arial" w:eastAsia="Times New Roman" w:hAnsi="Arial" w:cs="Arial"/>
                <w:color w:val="000000"/>
                <w:kern w:val="0"/>
                <w:sz w:val="24"/>
                <w:szCs w:val="24"/>
                <w:lang w:eastAsia="pt-BR"/>
                <w14:ligatures w14:val="none"/>
              </w:rPr>
              <w:t>;</w:t>
            </w:r>
          </w:p>
          <w:p w14:paraId="13B5CB06" w14:textId="57B7DF8B" w:rsidR="00313D4C" w:rsidRDefault="00313D4C"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Flecha excessiva da estrutura do telhado</w:t>
            </w:r>
            <w:r w:rsidR="00082BD7">
              <w:rPr>
                <w:rFonts w:ascii="Arial" w:eastAsia="Times New Roman" w:hAnsi="Arial" w:cs="Arial"/>
                <w:color w:val="000000"/>
                <w:kern w:val="0"/>
                <w:sz w:val="24"/>
                <w:szCs w:val="24"/>
                <w:lang w:eastAsia="pt-BR"/>
                <w14:ligatures w14:val="none"/>
              </w:rPr>
              <w:t>;</w:t>
            </w:r>
          </w:p>
          <w:p w14:paraId="0958675B" w14:textId="4407B95A" w:rsidR="00002BF6" w:rsidRPr="004F0908" w:rsidRDefault="00002BF6" w:rsidP="00192E54">
            <w:pPr>
              <w:spacing w:after="0" w:line="240" w:lineRule="auto"/>
              <w:rPr>
                <w:rFonts w:ascii="Arial" w:eastAsia="Times New Roman" w:hAnsi="Arial" w:cs="Arial"/>
                <w:color w:val="000000"/>
                <w:kern w:val="0"/>
                <w:sz w:val="24"/>
                <w:szCs w:val="24"/>
                <w:lang w:eastAsia="pt-BR"/>
                <w14:ligatures w14:val="none"/>
              </w:rPr>
            </w:pPr>
            <w:r>
              <w:rPr>
                <w:rFonts w:ascii="Arial" w:eastAsia="Times New Roman" w:hAnsi="Arial" w:cs="Arial"/>
                <w:color w:val="000000"/>
                <w:kern w:val="0"/>
                <w:sz w:val="24"/>
                <w:szCs w:val="24"/>
                <w:lang w:eastAsia="pt-BR"/>
                <w14:ligatures w14:val="none"/>
              </w:rPr>
              <w:t>Risco de ruína estrutural</w:t>
            </w:r>
            <w:r w:rsidR="00082BD7">
              <w:rPr>
                <w:rFonts w:ascii="Arial" w:eastAsia="Times New Roman" w:hAnsi="Arial" w:cs="Arial"/>
                <w:color w:val="000000"/>
                <w:kern w:val="0"/>
                <w:sz w:val="24"/>
                <w:szCs w:val="24"/>
                <w:lang w:eastAsia="pt-BR"/>
                <w14:ligatures w14:val="none"/>
              </w:rPr>
              <w:t>.</w:t>
            </w:r>
          </w:p>
        </w:tc>
      </w:tr>
    </w:tbl>
    <w:p w14:paraId="06B3A71B" w14:textId="41B4CAB5" w:rsidR="004F0908" w:rsidRDefault="00DF1CCC" w:rsidP="00DF1CCC">
      <w:pPr>
        <w:pStyle w:val="ArtigoFasul"/>
        <w:rPr>
          <w:sz w:val="22"/>
        </w:rPr>
      </w:pPr>
      <w:r w:rsidRPr="009E584A">
        <w:rPr>
          <w:sz w:val="22"/>
        </w:rPr>
        <w:t xml:space="preserve">Fonte: </w:t>
      </w:r>
      <w:r w:rsidR="007B653D" w:rsidRPr="009E584A">
        <w:rPr>
          <w:sz w:val="22"/>
        </w:rPr>
        <w:t>Elaboração própria, a partir de dados da</w:t>
      </w:r>
      <w:r w:rsidR="001E3CA2">
        <w:rPr>
          <w:sz w:val="22"/>
        </w:rPr>
        <w:t xml:space="preserve"> ferramenta “Pesquisa Integrada” do TCU</w:t>
      </w:r>
      <w:r w:rsidR="007C3195">
        <w:rPr>
          <w:rStyle w:val="Refdenotaderodap"/>
          <w:sz w:val="22"/>
        </w:rPr>
        <w:footnoteReference w:id="4"/>
      </w:r>
      <w:r w:rsidR="001E3CA2">
        <w:rPr>
          <w:sz w:val="22"/>
        </w:rPr>
        <w:t>, colhidos em 18/11/2024</w:t>
      </w:r>
      <w:r w:rsidR="006F33DA">
        <w:rPr>
          <w:sz w:val="22"/>
        </w:rPr>
        <w:t>.</w:t>
      </w:r>
    </w:p>
    <w:p w14:paraId="639A90A1" w14:textId="77777777" w:rsidR="00BE4AB3" w:rsidRDefault="00BE4AB3" w:rsidP="00006E32">
      <w:pPr>
        <w:pStyle w:val="ArtigoFasul"/>
      </w:pPr>
    </w:p>
    <w:p w14:paraId="2F6BB507" w14:textId="097C37AE" w:rsidR="008379FB" w:rsidRDefault="00E42ACB" w:rsidP="00F65240">
      <w:pPr>
        <w:pStyle w:val="ArtigoFasul"/>
        <w:ind w:firstLine="708"/>
      </w:pPr>
      <w:r>
        <w:t>Além desses acórdãos, a pesquisa retornou duas ocorrências</w:t>
      </w:r>
      <w:r w:rsidR="003654EB">
        <w:t xml:space="preserve"> – os Acórdãos</w:t>
      </w:r>
      <w:r w:rsidR="00651E29">
        <w:t xml:space="preserve"> 2271/2014</w:t>
      </w:r>
      <w:r w:rsidR="0095391C">
        <w:t xml:space="preserve"> e</w:t>
      </w:r>
      <w:r w:rsidR="003654EB">
        <w:t xml:space="preserve"> </w:t>
      </w:r>
      <w:r w:rsidR="009E7B6C">
        <w:t>2153/2010</w:t>
      </w:r>
      <w:r w:rsidR="0095391C">
        <w:t>-Plenário –</w:t>
      </w:r>
      <w:r>
        <w:t xml:space="preserve"> que</w:t>
      </w:r>
      <w:r w:rsidR="0095391C">
        <w:t xml:space="preserve"> </w:t>
      </w:r>
      <w:r>
        <w:t>podem ser classificadas como “falso</w:t>
      </w:r>
      <w:r w:rsidR="003654EB">
        <w:t>s</w:t>
      </w:r>
      <w:r>
        <w:t xml:space="preserve"> positivo”,</w:t>
      </w:r>
      <w:r w:rsidR="0095391C">
        <w:t xml:space="preserve"> ou seja,</w:t>
      </w:r>
      <w:r w:rsidR="00A44957">
        <w:t xml:space="preserve"> embora</w:t>
      </w:r>
      <w:r w:rsidR="0095391C">
        <w:t xml:space="preserve"> esses dois julgados </w:t>
      </w:r>
      <w:r w:rsidR="00A44957">
        <w:t xml:space="preserve">contenham menções a patologias construtivas, </w:t>
      </w:r>
      <w:r w:rsidR="00284CDE">
        <w:t>não foram detectad</w:t>
      </w:r>
      <w:r w:rsidR="009232C7">
        <w:t>a</w:t>
      </w:r>
      <w:r w:rsidR="00284CDE">
        <w:t>s irregularidades relacionad</w:t>
      </w:r>
      <w:r w:rsidR="009232C7">
        <w:t>a</w:t>
      </w:r>
      <w:r w:rsidR="00284CDE">
        <w:t>s a ess</w:t>
      </w:r>
      <w:r w:rsidR="009232C7">
        <w:t>e problema.</w:t>
      </w:r>
    </w:p>
    <w:p w14:paraId="74B99496" w14:textId="2ADCEF9F" w:rsidR="005513A4" w:rsidRPr="00FB219C" w:rsidRDefault="005E65D6" w:rsidP="00F54FC2">
      <w:pPr>
        <w:pStyle w:val="ArtigoFasul"/>
        <w:ind w:firstLine="708"/>
      </w:pPr>
      <w:r>
        <w:t xml:space="preserve">Em seguida, foi feita uma leitura de cada um dos acórdãos da amostra pesquisada </w:t>
      </w:r>
      <w:r w:rsidR="007420D9">
        <w:t>a fim de identificar mais detalhes sobre as patologias detectadas pelas equipes de fiscalização da Corte de Contas e quais técnicas e critérios foram empregados</w:t>
      </w:r>
      <w:r w:rsidR="00F54FC2">
        <w:t xml:space="preserve"> para essa finalidade.</w:t>
      </w:r>
    </w:p>
    <w:p w14:paraId="72B33ABF" w14:textId="1A368A3A" w:rsidR="005513A4" w:rsidRPr="00AF19DE" w:rsidRDefault="004645CC" w:rsidP="005513A4">
      <w:pPr>
        <w:pStyle w:val="Ttulo2"/>
        <w:numPr>
          <w:ilvl w:val="0"/>
          <w:numId w:val="1"/>
        </w:numPr>
        <w:ind w:left="0" w:firstLine="0"/>
        <w:rPr>
          <w:rFonts w:ascii="Arial" w:hAnsi="Arial" w:cs="Arial"/>
          <w:b/>
          <w:bCs/>
          <w:color w:val="auto"/>
          <w:sz w:val="24"/>
          <w:szCs w:val="24"/>
        </w:rPr>
      </w:pPr>
      <w:r w:rsidRPr="00AF19DE">
        <w:rPr>
          <w:rFonts w:ascii="Arial" w:hAnsi="Arial" w:cs="Arial"/>
          <w:b/>
          <w:bCs/>
          <w:color w:val="auto"/>
          <w:sz w:val="24"/>
          <w:szCs w:val="24"/>
        </w:rPr>
        <w:lastRenderedPageBreak/>
        <w:t>RESULTADOS E DISCUSSÕES</w:t>
      </w:r>
    </w:p>
    <w:p w14:paraId="7BBEAAA5" w14:textId="77777777" w:rsidR="000116F1" w:rsidRDefault="000116F1" w:rsidP="00DA7B57">
      <w:pPr>
        <w:pStyle w:val="ArtigoFasul"/>
        <w:ind w:firstLine="708"/>
      </w:pPr>
    </w:p>
    <w:p w14:paraId="18547554" w14:textId="22939522" w:rsidR="00130C5D" w:rsidRDefault="00CB67B9" w:rsidP="00130C5D">
      <w:pPr>
        <w:pStyle w:val="ArtigoFasul"/>
        <w:ind w:firstLine="708"/>
      </w:pPr>
      <w:r>
        <w:t>Verifica-se, portanto, a existência de 13 acórdãos em que foram apreciadas auditorias de obras públicas cujo escopo incluiu uma avaliação sobre eventual ocorrência de patologias construtivas.</w:t>
      </w:r>
    </w:p>
    <w:p w14:paraId="290BC1DB" w14:textId="77777777" w:rsidR="00AA623E" w:rsidRDefault="00AA623E" w:rsidP="00130C5D">
      <w:pPr>
        <w:pStyle w:val="ArtigoFasul"/>
        <w:ind w:firstLine="708"/>
      </w:pPr>
    </w:p>
    <w:p w14:paraId="058FE200" w14:textId="4D179ADA" w:rsidR="00130C5D" w:rsidRPr="00EC2D2D" w:rsidRDefault="004365FD" w:rsidP="00130C5D">
      <w:pPr>
        <w:pStyle w:val="Ttulo2"/>
        <w:numPr>
          <w:ilvl w:val="1"/>
          <w:numId w:val="1"/>
        </w:numPr>
        <w:ind w:left="709" w:hanging="709"/>
        <w:rPr>
          <w:rFonts w:ascii="Arial" w:hAnsi="Arial" w:cs="Arial"/>
          <w:b/>
          <w:bCs/>
          <w:color w:val="auto"/>
          <w:sz w:val="24"/>
          <w:szCs w:val="24"/>
        </w:rPr>
      </w:pPr>
      <w:r>
        <w:rPr>
          <w:rFonts w:ascii="Arial" w:hAnsi="Arial" w:cs="Arial"/>
          <w:b/>
          <w:bCs/>
          <w:color w:val="auto"/>
          <w:sz w:val="24"/>
          <w:szCs w:val="24"/>
        </w:rPr>
        <w:t>Primeiras fiscalizações sobre o tema</w:t>
      </w:r>
    </w:p>
    <w:p w14:paraId="692C8AA0" w14:textId="19199C5B" w:rsidR="00CB67B9" w:rsidRDefault="00F54FC2" w:rsidP="00CB67B9">
      <w:pPr>
        <w:pStyle w:val="ArtigoFasul"/>
        <w:ind w:firstLine="708"/>
      </w:pPr>
      <w:r>
        <w:t>A</w:t>
      </w:r>
      <w:r w:rsidR="00E14CB4">
        <w:t xml:space="preserve"> primeira vez em que</w:t>
      </w:r>
      <w:r w:rsidR="00C23259">
        <w:t xml:space="preserve"> surge</w:t>
      </w:r>
      <w:r w:rsidR="00E14CB4">
        <w:t xml:space="preserve"> </w:t>
      </w:r>
      <w:r w:rsidR="002E1538">
        <w:t xml:space="preserve">esse tema </w:t>
      </w:r>
      <w:r>
        <w:t>foi</w:t>
      </w:r>
      <w:r w:rsidR="002E1538">
        <w:t xml:space="preserve"> numa fiscalização do TCU </w:t>
      </w:r>
      <w:r w:rsidR="00CC0A30">
        <w:t>em 200</w:t>
      </w:r>
      <w:r w:rsidR="0064273B">
        <w:t xml:space="preserve">4 – o Acórdão 1.025/2004-TCU-Plenário – por meio do qual foi realizada </w:t>
      </w:r>
      <w:r w:rsidR="000B5AD5">
        <w:t>auditoria em contrato de financiamento firmado entre a Caixa Econômica Federal, a Caixa Beneficente dos Empregados da CSN – CBS e a empresa Via Engenharia S/A para construção de 3.070 casas do Conjunto Habitacional Vila Rica, em Volta Redonda/RJ</w:t>
      </w:r>
      <w:r w:rsidR="00AE5F4A">
        <w:t xml:space="preserve"> (BRASIL, 2004)</w:t>
      </w:r>
      <w:r w:rsidR="000B5AD5">
        <w:t>.</w:t>
      </w:r>
    </w:p>
    <w:p w14:paraId="7A67D490" w14:textId="3FBED6AC" w:rsidR="00041557" w:rsidRDefault="00AE5F4A" w:rsidP="00041557">
      <w:pPr>
        <w:pStyle w:val="ArtigoFasul"/>
        <w:ind w:firstLine="708"/>
      </w:pPr>
      <w:r>
        <w:t>Essa fiscalização foi realizada a pedido de Comissão Parlamentar da Câmara dos Deputados</w:t>
      </w:r>
      <w:r w:rsidR="00BB5689">
        <w:t xml:space="preserve"> e </w:t>
      </w:r>
      <w:r w:rsidR="006F4477">
        <w:t>seu escopo abarcou uma análise sobre a qualidade construtiva da obra</w:t>
      </w:r>
      <w:r w:rsidR="00686248">
        <w:t>.</w:t>
      </w:r>
    </w:p>
    <w:p w14:paraId="3C9AE78B" w14:textId="4606D7F7" w:rsidR="00686248" w:rsidRDefault="00686248" w:rsidP="00CB67B9">
      <w:pPr>
        <w:pStyle w:val="ArtigoFasul"/>
        <w:ind w:firstLine="708"/>
      </w:pPr>
      <w:r>
        <w:t>A leitura do relatório de auditoria indica que a verificação acerca de eventuais falhas de qualidade construtiva da obra ocorreu com base em inspeção visual</w:t>
      </w:r>
      <w:r w:rsidR="004C6045">
        <w:t xml:space="preserve"> (BRASIL, 2004)</w:t>
      </w:r>
      <w:r w:rsidR="00ED5CFC">
        <w:t>. Em outras palavras, não foram feitos ensaios técnicos</w:t>
      </w:r>
      <w:r w:rsidR="0087289A">
        <w:t xml:space="preserve"> que complementassem a inspeção visual, valendo assinalar que, conforme </w:t>
      </w:r>
      <w:proofErr w:type="spellStart"/>
      <w:r w:rsidR="006A2DC3">
        <w:t>Weimer</w:t>
      </w:r>
      <w:proofErr w:type="spellEnd"/>
      <w:r w:rsidR="006A2DC3">
        <w:t xml:space="preserve"> (2018), a inspeção visual, por vezes, já é suficiente </w:t>
      </w:r>
      <w:r w:rsidR="00AC1333">
        <w:t>para elaborar um diagnóstico da patologia e identificar suas causas</w:t>
      </w:r>
      <w:r w:rsidR="00041557">
        <w:t>.</w:t>
      </w:r>
    </w:p>
    <w:p w14:paraId="4E620B93" w14:textId="5E74AB2D" w:rsidR="00041557" w:rsidRDefault="00041557" w:rsidP="00CB67B9">
      <w:pPr>
        <w:pStyle w:val="ArtigoFasul"/>
        <w:ind w:firstLine="708"/>
      </w:pPr>
      <w:r>
        <w:t>Vale lembrar que, à época, ainda não havia sido publicada a norma técnica NBR 15575/2013</w:t>
      </w:r>
      <w:r w:rsidR="005A4948">
        <w:t>. Por isso</w:t>
      </w:r>
      <w:r w:rsidR="005C3F6B">
        <w:t>,</w:t>
      </w:r>
      <w:r w:rsidR="005A4948">
        <w:t xml:space="preserve"> embora a tipologia de obra fiscalizada tenha sido um conjunto de edificações habitacionais, </w:t>
      </w:r>
      <w:r w:rsidR="005C3F6B">
        <w:t xml:space="preserve">os critérios que balizaram </w:t>
      </w:r>
      <w:r w:rsidR="0043746B">
        <w:t>os exames feitos pela equipe de auditoria tiveram por fundamento referências da literatura técnica especializada.</w:t>
      </w:r>
    </w:p>
    <w:p w14:paraId="65DB4E71" w14:textId="7B8D3D38" w:rsidR="00132357" w:rsidRDefault="00132357" w:rsidP="00CB67B9">
      <w:pPr>
        <w:pStyle w:val="ArtigoFasul"/>
        <w:ind w:firstLine="708"/>
      </w:pPr>
      <w:r>
        <w:t xml:space="preserve">Verifica-se, portanto, que essa auditoria </w:t>
      </w:r>
      <w:r w:rsidR="00E71192">
        <w:t xml:space="preserve">foi um passo inicial de aprendizagem das equipes técnicas do TCU </w:t>
      </w:r>
      <w:r w:rsidR="00033952">
        <w:t>a respeito d</w:t>
      </w:r>
      <w:r w:rsidR="003565A8">
        <w:t>essa</w:t>
      </w:r>
      <w:r w:rsidR="00033952">
        <w:t xml:space="preserve"> </w:t>
      </w:r>
      <w:r w:rsidR="003565A8">
        <w:t>matéria</w:t>
      </w:r>
      <w:r w:rsidR="00855B04">
        <w:t>.</w:t>
      </w:r>
    </w:p>
    <w:p w14:paraId="3E7BCDB1" w14:textId="2A0E4D9F" w:rsidR="00855B04" w:rsidRDefault="00B32A9C" w:rsidP="00CB67B9">
      <w:pPr>
        <w:pStyle w:val="ArtigoFasul"/>
        <w:ind w:firstLine="708"/>
      </w:pPr>
      <w:r>
        <w:t xml:space="preserve">Comentários semelhantes </w:t>
      </w:r>
      <w:r w:rsidR="00EB4925">
        <w:t xml:space="preserve">são aplicáveis </w:t>
      </w:r>
      <w:r>
        <w:t xml:space="preserve">ao Acórdão </w:t>
      </w:r>
      <w:r w:rsidR="00EB4925">
        <w:t>2760/2010-TCU-Plenário (BRASIL, 2010)</w:t>
      </w:r>
      <w:r w:rsidR="0034236F">
        <w:t xml:space="preserve"> com uma diferença: a avaliação acerca da qualidade </w:t>
      </w:r>
      <w:r w:rsidR="00D57140">
        <w:t>construtiva ocorreu numa obra rodoviária em pavimento flexível</w:t>
      </w:r>
      <w:r w:rsidR="006F182A">
        <w:t xml:space="preserve">, ou seja, </w:t>
      </w:r>
      <w:r w:rsidR="001A087A">
        <w:t xml:space="preserve">o levantamento </w:t>
      </w:r>
      <w:r w:rsidR="003777F0">
        <w:t xml:space="preserve">de eventuais patologias levou em conta </w:t>
      </w:r>
      <w:r w:rsidR="003106A3">
        <w:t>os critérios aplic</w:t>
      </w:r>
      <w:r w:rsidR="00066A85">
        <w:t>ávei</w:t>
      </w:r>
      <w:r w:rsidR="003106A3">
        <w:t>s a essa tipologia de obra.</w:t>
      </w:r>
    </w:p>
    <w:p w14:paraId="34E513CF" w14:textId="3BC7555E" w:rsidR="003106A3" w:rsidRDefault="000A5CDB" w:rsidP="00CB67B9">
      <w:pPr>
        <w:pStyle w:val="ArtigoFasul"/>
        <w:ind w:firstLine="708"/>
      </w:pPr>
      <w:r>
        <w:lastRenderedPageBreak/>
        <w:t xml:space="preserve">Ainda assim, </w:t>
      </w:r>
      <w:r w:rsidR="00D26884">
        <w:t xml:space="preserve">verifica-se que o levantamento </w:t>
      </w:r>
      <w:r w:rsidR="00F00518">
        <w:t>acerca dos defeitos no pavimento ocorreu por meio de levantamento expedito</w:t>
      </w:r>
      <w:r w:rsidR="009F578B">
        <w:t>. Não foram feitos ensaios aprofundados de deflexão do pavimento ou de cálculo de seu índice de irregularidade.</w:t>
      </w:r>
    </w:p>
    <w:p w14:paraId="34F4AD3B" w14:textId="77777777" w:rsidR="00D57140" w:rsidRDefault="00D57140" w:rsidP="00CB67B9">
      <w:pPr>
        <w:pStyle w:val="ArtigoFasul"/>
        <w:ind w:firstLine="708"/>
      </w:pPr>
    </w:p>
    <w:p w14:paraId="1965C5B7" w14:textId="72D000E6" w:rsidR="001F1AEB" w:rsidRPr="00EC2D2D" w:rsidRDefault="00BC2D2E" w:rsidP="001F1AEB">
      <w:pPr>
        <w:pStyle w:val="Ttulo2"/>
        <w:numPr>
          <w:ilvl w:val="1"/>
          <w:numId w:val="1"/>
        </w:numPr>
        <w:ind w:left="709" w:hanging="709"/>
        <w:rPr>
          <w:rFonts w:ascii="Arial" w:hAnsi="Arial" w:cs="Arial"/>
          <w:b/>
          <w:bCs/>
          <w:color w:val="auto"/>
          <w:sz w:val="24"/>
          <w:szCs w:val="24"/>
        </w:rPr>
      </w:pPr>
      <w:r>
        <w:rPr>
          <w:rFonts w:ascii="Arial" w:hAnsi="Arial" w:cs="Arial"/>
          <w:b/>
          <w:bCs/>
          <w:color w:val="auto"/>
          <w:sz w:val="24"/>
          <w:szCs w:val="24"/>
        </w:rPr>
        <w:t xml:space="preserve">A evolução </w:t>
      </w:r>
      <w:r w:rsidR="00EF7C08">
        <w:rPr>
          <w:rFonts w:ascii="Arial" w:hAnsi="Arial" w:cs="Arial"/>
          <w:b/>
          <w:bCs/>
          <w:color w:val="auto"/>
          <w:sz w:val="24"/>
          <w:szCs w:val="24"/>
        </w:rPr>
        <w:t xml:space="preserve">técnica registrada no </w:t>
      </w:r>
      <w:r w:rsidR="00EC2D2D">
        <w:rPr>
          <w:rFonts w:ascii="Arial" w:hAnsi="Arial" w:cs="Arial"/>
          <w:b/>
          <w:bCs/>
          <w:color w:val="auto"/>
          <w:sz w:val="24"/>
          <w:szCs w:val="24"/>
        </w:rPr>
        <w:t>Acórdão 524/2014-TCU-Plenário</w:t>
      </w:r>
    </w:p>
    <w:p w14:paraId="79FD6E68" w14:textId="087093ED" w:rsidR="000116F1" w:rsidRDefault="00A81084" w:rsidP="000116F1">
      <w:pPr>
        <w:pStyle w:val="ArtigoFasul"/>
        <w:ind w:firstLine="708"/>
      </w:pPr>
      <w:r>
        <w:t>O Acórdão 524/2014-TCU-Plenário</w:t>
      </w:r>
      <w:r w:rsidR="00CE0785">
        <w:t xml:space="preserve"> (BRASIL, 2014</w:t>
      </w:r>
      <w:r w:rsidR="00D32148">
        <w:t>a</w:t>
      </w:r>
      <w:r w:rsidR="00CE0785">
        <w:t>)</w:t>
      </w:r>
      <w:r>
        <w:t xml:space="preserve"> apresenta um sensível aprofundamento técnico na análise e verificação de patologias em obras públicas por parte da equipe de auditoria.</w:t>
      </w:r>
    </w:p>
    <w:p w14:paraId="49F0AC77" w14:textId="05BD2A83" w:rsidR="00A81084" w:rsidRDefault="00A81084" w:rsidP="000116F1">
      <w:pPr>
        <w:pStyle w:val="ArtigoFasul"/>
        <w:ind w:firstLine="708"/>
      </w:pPr>
      <w:r>
        <w:t xml:space="preserve">Com efeito, </w:t>
      </w:r>
      <w:r w:rsidR="00417C79">
        <w:t xml:space="preserve">nessa fiscalização, </w:t>
      </w:r>
      <w:r w:rsidR="00855D41">
        <w:t>foram feitas vistorias</w:t>
      </w:r>
      <w:r w:rsidR="00981762">
        <w:t xml:space="preserve"> e avaliações</w:t>
      </w:r>
      <w:r w:rsidR="00855D41">
        <w:t xml:space="preserve"> </w:t>
      </w:r>
      <w:r w:rsidR="00CE0785">
        <w:t xml:space="preserve">mais abrangentes </w:t>
      </w:r>
      <w:r w:rsidR="002A47AA">
        <w:t>em</w:t>
      </w:r>
      <w:r w:rsidR="0026241A">
        <w:t xml:space="preserve"> onze</w:t>
      </w:r>
      <w:r w:rsidR="002A47AA">
        <w:t xml:space="preserve"> empreendimentos integrantes do Programa Minha Casa, Minha Vida localizados em Goiânia/GO, Ananindeua/PA, Londrina/PR, Rio de Janeiro/RJ, Salvador/BA, Anápolis/GO, Trindade/GO, Rio Branco/AC, Colatina/ES, Linhares/ES, João Pessoa/PB, </w:t>
      </w:r>
      <w:r w:rsidR="00706167">
        <w:t>Paço do Lumiar/MA, São José de Ribamar/MA, Santo Antônio da Patrulha/RS e São Leopoldo/RS.</w:t>
      </w:r>
    </w:p>
    <w:p w14:paraId="25FF1845" w14:textId="72FF02CA" w:rsidR="00E65B33" w:rsidRDefault="00B36F9B" w:rsidP="000116F1">
      <w:pPr>
        <w:pStyle w:val="ArtigoFasul"/>
        <w:ind w:firstLine="708"/>
      </w:pPr>
      <w:r>
        <w:t>Conforme a própria equipe de auditoria esclarece:</w:t>
      </w:r>
    </w:p>
    <w:p w14:paraId="71929D68" w14:textId="77777777" w:rsidR="00B36F9B" w:rsidRDefault="00B36F9B" w:rsidP="00B36F9B">
      <w:pPr>
        <w:pStyle w:val="ArtigoFasul"/>
      </w:pPr>
    </w:p>
    <w:p w14:paraId="4012175C" w14:textId="28632D39" w:rsidR="00B36F9B" w:rsidRDefault="00B36F9B" w:rsidP="00F04F07">
      <w:pPr>
        <w:pStyle w:val="ArtigoFasul"/>
        <w:spacing w:line="240" w:lineRule="auto"/>
        <w:ind w:left="2268"/>
        <w:rPr>
          <w:sz w:val="22"/>
          <w:szCs w:val="20"/>
        </w:rPr>
      </w:pPr>
      <w:r w:rsidRPr="00F04F07">
        <w:rPr>
          <w:sz w:val="22"/>
          <w:szCs w:val="20"/>
        </w:rPr>
        <w:t>106. Os critérios de verificação adotados pela auditoria se basearam nas especificações dos projetos do PMCMV/FAR (de acordo com sua tipologia – casa térrea ou apartamento) vigentes à época da contratação de cada empreendimento, retirados de documentos disponibilizados pela Caixa. Complementarmente, foram utilizadas as normas técnicas NBR 9050/2004 (Acessibilidade a edificações, mobiliário, espaços e equipamentos urbanos), NBR 8160/1999 (Sistemas prediais de esgoto sanitário – Projeto e execução) e NBR 15961-1/2011 (Alvenaria estrutural – Blocos de concreto – Parte 1: Projeto) da Associação Brasileira de Normas Técnicas (ABNT)</w:t>
      </w:r>
      <w:r w:rsidR="00CE3591">
        <w:rPr>
          <w:sz w:val="22"/>
          <w:szCs w:val="20"/>
        </w:rPr>
        <w:t>.</w:t>
      </w:r>
    </w:p>
    <w:p w14:paraId="1E674543" w14:textId="1DEF8290" w:rsidR="00EE5470" w:rsidRPr="00F04F07" w:rsidRDefault="00EE5470" w:rsidP="00F04F07">
      <w:pPr>
        <w:pStyle w:val="ArtigoFasul"/>
        <w:spacing w:line="240" w:lineRule="auto"/>
        <w:ind w:left="2268"/>
        <w:rPr>
          <w:sz w:val="22"/>
          <w:szCs w:val="20"/>
        </w:rPr>
      </w:pPr>
      <w:r>
        <w:rPr>
          <w:sz w:val="22"/>
          <w:szCs w:val="20"/>
        </w:rPr>
        <w:t>(BRASIL, 2014</w:t>
      </w:r>
      <w:r w:rsidR="00D32148">
        <w:rPr>
          <w:sz w:val="22"/>
          <w:szCs w:val="20"/>
        </w:rPr>
        <w:t>a</w:t>
      </w:r>
      <w:r>
        <w:rPr>
          <w:sz w:val="22"/>
          <w:szCs w:val="20"/>
        </w:rPr>
        <w:t>, p. 21)</w:t>
      </w:r>
      <w:r w:rsidR="00CE3591">
        <w:rPr>
          <w:sz w:val="22"/>
          <w:szCs w:val="20"/>
        </w:rPr>
        <w:t>.</w:t>
      </w:r>
    </w:p>
    <w:p w14:paraId="692A71D3" w14:textId="77777777" w:rsidR="00981762" w:rsidRDefault="00981762" w:rsidP="000116F1">
      <w:pPr>
        <w:pStyle w:val="ArtigoFasul"/>
        <w:ind w:firstLine="708"/>
      </w:pPr>
    </w:p>
    <w:p w14:paraId="7355A1F3" w14:textId="4B16A279" w:rsidR="00EE5470" w:rsidRDefault="00633F16" w:rsidP="000116F1">
      <w:pPr>
        <w:pStyle w:val="ArtigoFasul"/>
        <w:ind w:firstLine="708"/>
      </w:pPr>
      <w:r>
        <w:t>Em outras palavras, conforme Brasil (2014</w:t>
      </w:r>
      <w:r w:rsidR="00D32148">
        <w:t>a</w:t>
      </w:r>
      <w:r>
        <w:t>) aponta</w:t>
      </w:r>
      <w:r w:rsidR="00EE5470">
        <w:t>, além da v</w:t>
      </w:r>
      <w:r w:rsidR="006E62D8">
        <w:t xml:space="preserve">erificação visual, a equipe de auditoria avaliou a conformidade dos projetos </w:t>
      </w:r>
      <w:r w:rsidR="00CD69CE">
        <w:t>técnicos e de parte das obras com as normas técnicas aplicáveis</w:t>
      </w:r>
      <w:r>
        <w:t xml:space="preserve">. Buscou-se, dessa forma, </w:t>
      </w:r>
      <w:r w:rsidR="00641438">
        <w:t>investigar possíveis causas de eventuais patologias encontradas.</w:t>
      </w:r>
    </w:p>
    <w:p w14:paraId="268E63BE" w14:textId="368C606A" w:rsidR="0026241A" w:rsidRDefault="00CB131F" w:rsidP="0026241A">
      <w:pPr>
        <w:pStyle w:val="ArtigoFasul"/>
        <w:ind w:firstLine="708"/>
      </w:pPr>
      <w:r>
        <w:t xml:space="preserve">As inspeções realizadas pela equipe de auditoria </w:t>
      </w:r>
      <w:r w:rsidR="0026241A">
        <w:t>constataram as seguintes patologias construtivas nos onze empreendimentos:</w:t>
      </w:r>
    </w:p>
    <w:p w14:paraId="3F162B1C" w14:textId="77777777" w:rsidR="00EE5470" w:rsidRDefault="00EE5470" w:rsidP="000116F1">
      <w:pPr>
        <w:pStyle w:val="ArtigoFasul"/>
        <w:ind w:firstLine="708"/>
      </w:pPr>
    </w:p>
    <w:p w14:paraId="0A817DC0" w14:textId="090C28FB" w:rsidR="000116F1" w:rsidRPr="007E6FF5" w:rsidRDefault="000116F1" w:rsidP="000116F1">
      <w:pPr>
        <w:pStyle w:val="Legenda"/>
        <w:keepNext/>
        <w:jc w:val="center"/>
        <w:rPr>
          <w:rFonts w:ascii="Arial" w:hAnsi="Arial" w:cs="Arial"/>
          <w:i w:val="0"/>
          <w:iCs w:val="0"/>
          <w:color w:val="auto"/>
          <w:sz w:val="24"/>
          <w:szCs w:val="24"/>
        </w:rPr>
      </w:pPr>
      <w:r w:rsidRPr="007E6FF5">
        <w:rPr>
          <w:rFonts w:ascii="Arial" w:hAnsi="Arial" w:cs="Arial"/>
          <w:b/>
          <w:bCs/>
          <w:i w:val="0"/>
          <w:iCs w:val="0"/>
          <w:color w:val="auto"/>
          <w:sz w:val="24"/>
          <w:szCs w:val="24"/>
        </w:rPr>
        <w:lastRenderedPageBreak/>
        <w:t xml:space="preserve">Figura </w:t>
      </w:r>
      <w:r w:rsidRPr="007E6FF5">
        <w:rPr>
          <w:rFonts w:ascii="Arial" w:hAnsi="Arial" w:cs="Arial"/>
          <w:b/>
          <w:bCs/>
          <w:i w:val="0"/>
          <w:iCs w:val="0"/>
          <w:color w:val="auto"/>
          <w:sz w:val="24"/>
          <w:szCs w:val="24"/>
        </w:rPr>
        <w:fldChar w:fldCharType="begin"/>
      </w:r>
      <w:r w:rsidRPr="007E6FF5">
        <w:rPr>
          <w:rFonts w:ascii="Arial" w:hAnsi="Arial" w:cs="Arial"/>
          <w:b/>
          <w:bCs/>
          <w:i w:val="0"/>
          <w:iCs w:val="0"/>
          <w:color w:val="auto"/>
          <w:sz w:val="24"/>
          <w:szCs w:val="24"/>
        </w:rPr>
        <w:instrText xml:space="preserve"> SEQ Figura \* ARABIC </w:instrText>
      </w:r>
      <w:r w:rsidRPr="007E6FF5">
        <w:rPr>
          <w:rFonts w:ascii="Arial" w:hAnsi="Arial" w:cs="Arial"/>
          <w:b/>
          <w:bCs/>
          <w:i w:val="0"/>
          <w:iCs w:val="0"/>
          <w:color w:val="auto"/>
          <w:sz w:val="24"/>
          <w:szCs w:val="24"/>
        </w:rPr>
        <w:fldChar w:fldCharType="separate"/>
      </w:r>
      <w:r w:rsidR="00D232C7">
        <w:rPr>
          <w:rFonts w:ascii="Arial" w:hAnsi="Arial" w:cs="Arial"/>
          <w:b/>
          <w:bCs/>
          <w:i w:val="0"/>
          <w:iCs w:val="0"/>
          <w:noProof/>
          <w:color w:val="auto"/>
          <w:sz w:val="24"/>
          <w:szCs w:val="24"/>
        </w:rPr>
        <w:t>3</w:t>
      </w:r>
      <w:r w:rsidRPr="007E6FF5">
        <w:rPr>
          <w:rFonts w:ascii="Arial" w:hAnsi="Arial" w:cs="Arial"/>
          <w:b/>
          <w:bCs/>
          <w:i w:val="0"/>
          <w:iCs w:val="0"/>
          <w:color w:val="auto"/>
          <w:sz w:val="24"/>
          <w:szCs w:val="24"/>
        </w:rPr>
        <w:fldChar w:fldCharType="end"/>
      </w:r>
      <w:r w:rsidRPr="007E6FF5">
        <w:rPr>
          <w:rFonts w:ascii="Arial" w:hAnsi="Arial" w:cs="Arial"/>
          <w:i w:val="0"/>
          <w:iCs w:val="0"/>
          <w:color w:val="auto"/>
          <w:sz w:val="24"/>
          <w:szCs w:val="24"/>
        </w:rPr>
        <w:t xml:space="preserve"> </w:t>
      </w:r>
      <w:r w:rsidR="005E5102">
        <w:rPr>
          <w:rFonts w:ascii="Arial" w:hAnsi="Arial" w:cs="Arial"/>
          <w:i w:val="0"/>
          <w:iCs w:val="0"/>
          <w:color w:val="auto"/>
          <w:sz w:val="24"/>
          <w:szCs w:val="24"/>
        </w:rPr>
        <w:t>–</w:t>
      </w:r>
      <w:r w:rsidRPr="007E6FF5">
        <w:rPr>
          <w:rFonts w:ascii="Arial" w:hAnsi="Arial" w:cs="Arial"/>
          <w:i w:val="0"/>
          <w:iCs w:val="0"/>
          <w:color w:val="auto"/>
          <w:sz w:val="24"/>
          <w:szCs w:val="24"/>
        </w:rPr>
        <w:t xml:space="preserve"> </w:t>
      </w:r>
      <w:r w:rsidR="005E5102">
        <w:rPr>
          <w:rFonts w:ascii="Arial" w:hAnsi="Arial" w:cs="Arial"/>
          <w:i w:val="0"/>
          <w:iCs w:val="0"/>
          <w:color w:val="auto"/>
          <w:sz w:val="24"/>
          <w:szCs w:val="24"/>
        </w:rPr>
        <w:t>Patologias construtivas detectadas em empreendimentos do Programa Minha Casa, Minha Vida inspecionados pelo TCU</w:t>
      </w:r>
    </w:p>
    <w:p w14:paraId="24C1ECDE" w14:textId="68CC9E29" w:rsidR="000116F1" w:rsidRDefault="00CE50DC" w:rsidP="000116F1">
      <w:pPr>
        <w:pStyle w:val="ArtigoFasul"/>
      </w:pPr>
      <w:r w:rsidRPr="00CE50DC">
        <w:rPr>
          <w:noProof/>
        </w:rPr>
        <w:drawing>
          <wp:inline distT="0" distB="0" distL="0" distR="0" wp14:anchorId="1D957914" wp14:editId="5A0E11C5">
            <wp:extent cx="5324475" cy="2362200"/>
            <wp:effectExtent l="0" t="0" r="9525" b="0"/>
            <wp:docPr id="8609117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2362200"/>
                    </a:xfrm>
                    <a:prstGeom prst="rect">
                      <a:avLst/>
                    </a:prstGeom>
                    <a:noFill/>
                    <a:ln>
                      <a:noFill/>
                    </a:ln>
                  </pic:spPr>
                </pic:pic>
              </a:graphicData>
            </a:graphic>
          </wp:inline>
        </w:drawing>
      </w:r>
    </w:p>
    <w:p w14:paraId="3EA8CA61" w14:textId="1809CD53" w:rsidR="000116F1" w:rsidRDefault="000116F1" w:rsidP="000116F1">
      <w:pPr>
        <w:pStyle w:val="ArtigoFasul"/>
      </w:pPr>
      <w:r>
        <w:t xml:space="preserve">Fonte: </w:t>
      </w:r>
      <w:r w:rsidR="005E5102">
        <w:t>BRASIL, 2014</w:t>
      </w:r>
      <w:r w:rsidR="00D32148">
        <w:t>a</w:t>
      </w:r>
      <w:r w:rsidR="005E5102">
        <w:t>, p. 23</w:t>
      </w:r>
    </w:p>
    <w:p w14:paraId="02DF9A9F" w14:textId="115D176D" w:rsidR="00CE50DC" w:rsidRDefault="009F6A92" w:rsidP="000116F1">
      <w:pPr>
        <w:pStyle w:val="ArtigoFasul"/>
        <w:ind w:firstLine="708"/>
      </w:pPr>
      <w:r>
        <w:t xml:space="preserve">Quanto às possíveis causas dessas patologias, </w:t>
      </w:r>
      <w:r w:rsidR="00BC4E35">
        <w:t>a equipe de auditoria encontrou as seguintes:</w:t>
      </w:r>
    </w:p>
    <w:p w14:paraId="4931FC81" w14:textId="77777777" w:rsidR="00BC4E35" w:rsidRDefault="00BC4E35" w:rsidP="000116F1">
      <w:pPr>
        <w:pStyle w:val="ArtigoFasul"/>
        <w:ind w:firstLine="708"/>
      </w:pPr>
    </w:p>
    <w:p w14:paraId="42F22DBA" w14:textId="173BD463" w:rsidR="000116F1" w:rsidRPr="00E95CB0" w:rsidRDefault="000116F1" w:rsidP="000116F1">
      <w:pPr>
        <w:pStyle w:val="Legenda"/>
        <w:keepNext/>
        <w:jc w:val="center"/>
        <w:rPr>
          <w:rFonts w:ascii="Arial" w:hAnsi="Arial" w:cs="Arial"/>
          <w:i w:val="0"/>
          <w:iCs w:val="0"/>
          <w:color w:val="auto"/>
          <w:sz w:val="24"/>
          <w:szCs w:val="24"/>
        </w:rPr>
      </w:pPr>
      <w:r w:rsidRPr="00E95CB0">
        <w:rPr>
          <w:rFonts w:ascii="Arial" w:hAnsi="Arial" w:cs="Arial"/>
          <w:b/>
          <w:bCs/>
          <w:i w:val="0"/>
          <w:iCs w:val="0"/>
          <w:color w:val="auto"/>
          <w:sz w:val="24"/>
          <w:szCs w:val="24"/>
        </w:rPr>
        <w:t xml:space="preserve">Figura </w:t>
      </w:r>
      <w:r w:rsidRPr="00E95CB0">
        <w:rPr>
          <w:rFonts w:ascii="Arial" w:hAnsi="Arial" w:cs="Arial"/>
          <w:b/>
          <w:bCs/>
          <w:i w:val="0"/>
          <w:iCs w:val="0"/>
          <w:color w:val="auto"/>
          <w:sz w:val="24"/>
          <w:szCs w:val="24"/>
        </w:rPr>
        <w:fldChar w:fldCharType="begin"/>
      </w:r>
      <w:r w:rsidRPr="00E95CB0">
        <w:rPr>
          <w:rFonts w:ascii="Arial" w:hAnsi="Arial" w:cs="Arial"/>
          <w:b/>
          <w:bCs/>
          <w:i w:val="0"/>
          <w:iCs w:val="0"/>
          <w:color w:val="auto"/>
          <w:sz w:val="24"/>
          <w:szCs w:val="24"/>
        </w:rPr>
        <w:instrText xml:space="preserve"> SEQ Figura \* ARABIC </w:instrText>
      </w:r>
      <w:r w:rsidRPr="00E95CB0">
        <w:rPr>
          <w:rFonts w:ascii="Arial" w:hAnsi="Arial" w:cs="Arial"/>
          <w:b/>
          <w:bCs/>
          <w:i w:val="0"/>
          <w:iCs w:val="0"/>
          <w:color w:val="auto"/>
          <w:sz w:val="24"/>
          <w:szCs w:val="24"/>
        </w:rPr>
        <w:fldChar w:fldCharType="separate"/>
      </w:r>
      <w:r w:rsidR="00D232C7">
        <w:rPr>
          <w:rFonts w:ascii="Arial" w:hAnsi="Arial" w:cs="Arial"/>
          <w:b/>
          <w:bCs/>
          <w:i w:val="0"/>
          <w:iCs w:val="0"/>
          <w:noProof/>
          <w:color w:val="auto"/>
          <w:sz w:val="24"/>
          <w:szCs w:val="24"/>
        </w:rPr>
        <w:t>4</w:t>
      </w:r>
      <w:r w:rsidRPr="00E95CB0">
        <w:rPr>
          <w:rFonts w:ascii="Arial" w:hAnsi="Arial" w:cs="Arial"/>
          <w:b/>
          <w:bCs/>
          <w:i w:val="0"/>
          <w:iCs w:val="0"/>
          <w:color w:val="auto"/>
          <w:sz w:val="24"/>
          <w:szCs w:val="24"/>
        </w:rPr>
        <w:fldChar w:fldCharType="end"/>
      </w:r>
      <w:r w:rsidRPr="00E95CB0">
        <w:rPr>
          <w:rFonts w:ascii="Arial" w:hAnsi="Arial" w:cs="Arial"/>
          <w:i w:val="0"/>
          <w:iCs w:val="0"/>
          <w:color w:val="auto"/>
          <w:sz w:val="24"/>
          <w:szCs w:val="24"/>
        </w:rPr>
        <w:t xml:space="preserve"> </w:t>
      </w:r>
      <w:r w:rsidR="00145509">
        <w:rPr>
          <w:rFonts w:ascii="Arial" w:hAnsi="Arial" w:cs="Arial"/>
          <w:i w:val="0"/>
          <w:iCs w:val="0"/>
          <w:color w:val="auto"/>
          <w:sz w:val="24"/>
          <w:szCs w:val="24"/>
        </w:rPr>
        <w:t>–</w:t>
      </w:r>
      <w:r w:rsidRPr="00E95CB0">
        <w:rPr>
          <w:rFonts w:ascii="Arial" w:hAnsi="Arial" w:cs="Arial"/>
          <w:i w:val="0"/>
          <w:iCs w:val="0"/>
          <w:color w:val="auto"/>
          <w:sz w:val="24"/>
          <w:szCs w:val="24"/>
        </w:rPr>
        <w:t xml:space="preserve"> </w:t>
      </w:r>
      <w:r w:rsidR="00145509">
        <w:rPr>
          <w:rFonts w:ascii="Arial" w:hAnsi="Arial" w:cs="Arial"/>
          <w:i w:val="0"/>
          <w:iCs w:val="0"/>
          <w:color w:val="auto"/>
          <w:sz w:val="24"/>
          <w:szCs w:val="24"/>
        </w:rPr>
        <w:t>Possíveis causas das patologias encontradas</w:t>
      </w:r>
      <w:r w:rsidR="00DA257F">
        <w:rPr>
          <w:rFonts w:ascii="Arial" w:hAnsi="Arial" w:cs="Arial"/>
          <w:i w:val="0"/>
          <w:iCs w:val="0"/>
          <w:color w:val="auto"/>
          <w:sz w:val="24"/>
          <w:szCs w:val="24"/>
        </w:rPr>
        <w:t xml:space="preserve"> nas obras da amostra da fiscalização</w:t>
      </w:r>
    </w:p>
    <w:p w14:paraId="5FD100CD" w14:textId="2D923DA5" w:rsidR="000116F1" w:rsidRDefault="00145509" w:rsidP="000116F1">
      <w:pPr>
        <w:pStyle w:val="ArtigoFasul"/>
        <w:jc w:val="left"/>
      </w:pPr>
      <w:r w:rsidRPr="00145509">
        <w:rPr>
          <w:noProof/>
        </w:rPr>
        <w:drawing>
          <wp:inline distT="0" distB="0" distL="0" distR="0" wp14:anchorId="1E1353E8" wp14:editId="757F3E9F">
            <wp:extent cx="5743575" cy="2419350"/>
            <wp:effectExtent l="0" t="0" r="9525" b="0"/>
            <wp:docPr id="60526588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2419350"/>
                    </a:xfrm>
                    <a:prstGeom prst="rect">
                      <a:avLst/>
                    </a:prstGeom>
                    <a:noFill/>
                    <a:ln>
                      <a:noFill/>
                    </a:ln>
                  </pic:spPr>
                </pic:pic>
              </a:graphicData>
            </a:graphic>
          </wp:inline>
        </w:drawing>
      </w:r>
    </w:p>
    <w:p w14:paraId="70189635" w14:textId="0C043249" w:rsidR="000116F1" w:rsidRDefault="000116F1" w:rsidP="000116F1">
      <w:pPr>
        <w:pStyle w:val="ArtigoFasul"/>
      </w:pPr>
      <w:r>
        <w:t xml:space="preserve">Fonte: </w:t>
      </w:r>
      <w:r w:rsidR="00145509">
        <w:t>BRASIL, 2014</w:t>
      </w:r>
      <w:r w:rsidR="00D32148">
        <w:t>a</w:t>
      </w:r>
      <w:r w:rsidR="00145509">
        <w:t>, p. 23</w:t>
      </w:r>
    </w:p>
    <w:p w14:paraId="7A475202" w14:textId="77777777" w:rsidR="000116F1" w:rsidRDefault="000116F1" w:rsidP="000116F1">
      <w:pPr>
        <w:pStyle w:val="ArtigoFasul"/>
        <w:jc w:val="left"/>
      </w:pPr>
    </w:p>
    <w:p w14:paraId="2B0AE9DA" w14:textId="3EC44E7F" w:rsidR="00FC5704" w:rsidRDefault="00FC5704" w:rsidP="000116F1">
      <w:pPr>
        <w:pStyle w:val="ArtigoFasul"/>
        <w:ind w:firstLine="708"/>
      </w:pPr>
      <w:r>
        <w:t xml:space="preserve">A fiscalização </w:t>
      </w:r>
      <w:r w:rsidR="00151B64">
        <w:t xml:space="preserve">incluiu em seu escopo verificações acerca da infraestrutura dos </w:t>
      </w:r>
      <w:r w:rsidR="00721027">
        <w:t>condomínios habitacionais inspecionados</w:t>
      </w:r>
      <w:r w:rsidR="00DA60EC">
        <w:t>, o que resultou na constatação de patologias em calçadas e passeios, dispositivos de microdrenage</w:t>
      </w:r>
      <w:r w:rsidR="000070BC">
        <w:t>m, s</w:t>
      </w:r>
      <w:r w:rsidR="004C6045">
        <w:t>arjetas e vias internas dos empreendimentos (BRASIL, 2014</w:t>
      </w:r>
      <w:r w:rsidR="00D32148">
        <w:t>a</w:t>
      </w:r>
      <w:r w:rsidR="004C6045">
        <w:t>).</w:t>
      </w:r>
    </w:p>
    <w:p w14:paraId="06F4F904" w14:textId="38F40D69" w:rsidR="004C6045" w:rsidRDefault="00850AC0" w:rsidP="000116F1">
      <w:pPr>
        <w:pStyle w:val="ArtigoFasul"/>
        <w:ind w:firstLine="708"/>
      </w:pPr>
      <w:r>
        <w:lastRenderedPageBreak/>
        <w:t>Vale destacar que, em três empreendimentos localizados em Rio Branco/AC</w:t>
      </w:r>
      <w:r w:rsidR="005C3544">
        <w:t xml:space="preserve"> e João Pessoa/PB, as patologias encontradas foram classificadas </w:t>
      </w:r>
      <w:r w:rsidR="007169AD">
        <w:t xml:space="preserve">como graves, o que resultou </w:t>
      </w:r>
      <w:r w:rsidR="00B64E11">
        <w:t xml:space="preserve">em processos apartados </w:t>
      </w:r>
      <w:r w:rsidR="00324076">
        <w:t>destinados a medidas de responsabilização de gestores e empresas projetistas/executoras.</w:t>
      </w:r>
    </w:p>
    <w:p w14:paraId="395B3D9B" w14:textId="77777777" w:rsidR="007169AD" w:rsidRDefault="007169AD" w:rsidP="000116F1">
      <w:pPr>
        <w:pStyle w:val="ArtigoFasul"/>
        <w:ind w:firstLine="708"/>
      </w:pPr>
    </w:p>
    <w:p w14:paraId="34FA41C9" w14:textId="15BEF53C" w:rsidR="007B570A" w:rsidRPr="001F1AEB" w:rsidRDefault="001C6C04" w:rsidP="007B570A">
      <w:pPr>
        <w:pStyle w:val="Ttulo2"/>
        <w:numPr>
          <w:ilvl w:val="1"/>
          <w:numId w:val="1"/>
        </w:numPr>
        <w:ind w:left="709" w:hanging="709"/>
        <w:rPr>
          <w:rFonts w:ascii="Arial" w:hAnsi="Arial" w:cs="Arial"/>
          <w:b/>
          <w:bCs/>
          <w:color w:val="auto"/>
          <w:sz w:val="24"/>
          <w:szCs w:val="24"/>
        </w:rPr>
      </w:pPr>
      <w:r>
        <w:rPr>
          <w:rFonts w:ascii="Arial" w:hAnsi="Arial" w:cs="Arial"/>
          <w:b/>
          <w:bCs/>
          <w:color w:val="auto"/>
          <w:sz w:val="24"/>
          <w:szCs w:val="24"/>
        </w:rPr>
        <w:t>Cenário posterior ao Acórdão 524/2014-TCU-Plenário</w:t>
      </w:r>
      <w:r w:rsidR="00B12B70">
        <w:rPr>
          <w:rFonts w:ascii="Arial" w:hAnsi="Arial" w:cs="Arial"/>
          <w:b/>
          <w:bCs/>
          <w:color w:val="auto"/>
          <w:sz w:val="24"/>
          <w:szCs w:val="24"/>
        </w:rPr>
        <w:t xml:space="preserve"> – análise e verificação de patologias em obras de edificações públicas</w:t>
      </w:r>
    </w:p>
    <w:p w14:paraId="3E28DF0E" w14:textId="1657BB97" w:rsidR="003D4635" w:rsidRDefault="00F945E0" w:rsidP="00DA7B57">
      <w:pPr>
        <w:pStyle w:val="ArtigoFasul"/>
        <w:ind w:firstLine="708"/>
      </w:pPr>
      <w:r>
        <w:t>O fato de que as fiscalizações posteriores ao Acórdão 524/2014-TCU-Plenário (BRASIL, 2014</w:t>
      </w:r>
      <w:r w:rsidR="00D32148">
        <w:t>a</w:t>
      </w:r>
      <w:r>
        <w:t>)</w:t>
      </w:r>
      <w:r w:rsidR="008D5C0E">
        <w:t xml:space="preserve"> tiveram elevado grau de profundidade na verificação e análise de ocorrências de patologias construtivas</w:t>
      </w:r>
      <w:r>
        <w:t xml:space="preserve"> reforça a percepção de que esse julgado representou </w:t>
      </w:r>
      <w:r w:rsidR="008D5C0E">
        <w:t xml:space="preserve">importante marco evolutivo </w:t>
      </w:r>
      <w:r w:rsidR="00345719">
        <w:t>n</w:t>
      </w:r>
      <w:r w:rsidR="00977DE5">
        <w:t>a aprendizagem</w:t>
      </w:r>
      <w:r w:rsidR="00E825DB">
        <w:t xml:space="preserve"> por parte das equipes técnicas do TCU</w:t>
      </w:r>
      <w:r w:rsidR="00977DE5">
        <w:t xml:space="preserve"> de </w:t>
      </w:r>
      <w:r w:rsidR="002218C7">
        <w:t xml:space="preserve">critérios e </w:t>
      </w:r>
      <w:r w:rsidR="00977DE5">
        <w:t xml:space="preserve">técnicas </w:t>
      </w:r>
      <w:r w:rsidR="002218C7">
        <w:t>mais avançadas relacionadas a esse tema.</w:t>
      </w:r>
    </w:p>
    <w:p w14:paraId="6A0D88D1" w14:textId="1DE9A7F9" w:rsidR="0032591C" w:rsidRDefault="002218C7" w:rsidP="0059221B">
      <w:pPr>
        <w:pStyle w:val="ArtigoFasul"/>
        <w:ind w:firstLine="708"/>
      </w:pPr>
      <w:r>
        <w:t xml:space="preserve">De fato, o Acórdão </w:t>
      </w:r>
      <w:r w:rsidR="00D32148">
        <w:t>1.101/2014-TCU-Plenário</w:t>
      </w:r>
      <w:r w:rsidR="00881317">
        <w:t xml:space="preserve"> (BRASIL, 2014b) </w:t>
      </w:r>
      <w:r w:rsidR="0004599B">
        <w:t>versa sobre fiscalização em que foram inspecionadas 26 obras</w:t>
      </w:r>
      <w:r w:rsidR="0032591C">
        <w:t xml:space="preserve"> de unidades de pronto atendimento (UPA)</w:t>
      </w:r>
      <w:r w:rsidR="0004599B">
        <w:t>, distribuídas em oito unidades da federação (DF, GO, PE, PA, RO, SP, RS e PI).</w:t>
      </w:r>
      <w:r w:rsidR="0059221B">
        <w:t xml:space="preserve"> Vale destacar que, nesse acórdão, foram utilizados critérios específicos</w:t>
      </w:r>
      <w:r w:rsidR="00857878">
        <w:t xml:space="preserve"> referentes a unidades de saúde </w:t>
      </w:r>
      <w:r w:rsidR="0059221B">
        <w:t>prolatados pela Agência Nacional de Vigilância Sanitária (Anvisa)</w:t>
      </w:r>
      <w:r w:rsidR="00857878">
        <w:t xml:space="preserve">, a exemplo </w:t>
      </w:r>
      <w:r w:rsidR="00D0106B">
        <w:t>da Resolução da Diretoria Colegiada (RDC) 50/2002</w:t>
      </w:r>
      <w:r w:rsidR="00901911">
        <w:t xml:space="preserve"> (ANVISA, 2002)</w:t>
      </w:r>
      <w:r w:rsidR="00D96242">
        <w:t xml:space="preserve"> e RDC 51/2011</w:t>
      </w:r>
      <w:r w:rsidR="00D0106B">
        <w:t xml:space="preserve"> (</w:t>
      </w:r>
      <w:r w:rsidR="00901911">
        <w:t>ANVISA</w:t>
      </w:r>
      <w:r w:rsidR="008D13F2">
        <w:t>, 2011</w:t>
      </w:r>
      <w:r w:rsidR="00D0106B">
        <w:t>).</w:t>
      </w:r>
    </w:p>
    <w:p w14:paraId="0706C9FC" w14:textId="44D5DB49" w:rsidR="00D0106B" w:rsidRDefault="007527E1" w:rsidP="00C66D96">
      <w:pPr>
        <w:pStyle w:val="ArtigoFasul"/>
        <w:ind w:firstLine="708"/>
      </w:pPr>
      <w:r>
        <w:t>Além disso,</w:t>
      </w:r>
      <w:r w:rsidR="00C66D96">
        <w:t xml:space="preserve"> o Acórdão 1.426/2015-TCU-Plenário</w:t>
      </w:r>
      <w:r w:rsidR="00B12B70">
        <w:t xml:space="preserve"> (BRASIL, 2015</w:t>
      </w:r>
      <w:r w:rsidR="00AE72C1">
        <w:t>d</w:t>
      </w:r>
      <w:r w:rsidR="00B12B70">
        <w:t>)</w:t>
      </w:r>
      <w:r w:rsidR="00C66D96">
        <w:t xml:space="preserve">, </w:t>
      </w:r>
      <w:r w:rsidR="00B12B70">
        <w:t xml:space="preserve">o qual cuidou de nova fiscalização em obras de </w:t>
      </w:r>
      <w:r w:rsidR="00EA48CE">
        <w:t>U</w:t>
      </w:r>
      <w:r w:rsidR="00B12B70">
        <w:t xml:space="preserve">nidades </w:t>
      </w:r>
      <w:r w:rsidR="00EA48CE">
        <w:t>B</w:t>
      </w:r>
      <w:r w:rsidR="00B12B70">
        <w:t xml:space="preserve">ásicas de </w:t>
      </w:r>
      <w:r w:rsidR="00EA48CE">
        <w:t>S</w:t>
      </w:r>
      <w:r w:rsidR="00B12B70">
        <w:t xml:space="preserve">aúde (UBS) e </w:t>
      </w:r>
      <w:r w:rsidR="00EA48CE">
        <w:t>U</w:t>
      </w:r>
      <w:r w:rsidR="00B12B70">
        <w:t xml:space="preserve">nidades de </w:t>
      </w:r>
      <w:r w:rsidR="00EA48CE">
        <w:t>P</w:t>
      </w:r>
      <w:r w:rsidR="00B12B70">
        <w:t xml:space="preserve">ronto </w:t>
      </w:r>
      <w:r w:rsidR="00EA48CE">
        <w:t>A</w:t>
      </w:r>
      <w:r w:rsidR="00B12B70">
        <w:t>tendimento (UPA)</w:t>
      </w:r>
      <w:r>
        <w:t xml:space="preserve"> evidenci</w:t>
      </w:r>
      <w:r w:rsidR="00B12B70">
        <w:t>ou</w:t>
      </w:r>
      <w:r>
        <w:t xml:space="preserve"> que </w:t>
      </w:r>
      <w:r w:rsidR="002C364F">
        <w:t xml:space="preserve">patologias construtivas ocorridas em unidades de saúde têm efeito negativo majorado, </w:t>
      </w:r>
      <w:r w:rsidR="001515EB">
        <w:t>uma vez que</w:t>
      </w:r>
      <w:r w:rsidR="002C364F">
        <w:t xml:space="preserve"> podem implicar em riscos sanitários graves, </w:t>
      </w:r>
      <w:r w:rsidR="00C66D96">
        <w:t xml:space="preserve">conforme anotado pela equipe </w:t>
      </w:r>
      <w:r w:rsidR="00B12B70">
        <w:t>de auditoria:</w:t>
      </w:r>
    </w:p>
    <w:p w14:paraId="0D2634EE" w14:textId="77777777" w:rsidR="00B12B70" w:rsidRDefault="00B12B70" w:rsidP="00C66D96">
      <w:pPr>
        <w:pStyle w:val="ArtigoFasul"/>
        <w:ind w:firstLine="708"/>
      </w:pPr>
    </w:p>
    <w:p w14:paraId="322F14B2" w14:textId="5E39321D" w:rsidR="007F55BB" w:rsidRPr="007F55BB" w:rsidRDefault="007F55BB" w:rsidP="007F55BB">
      <w:pPr>
        <w:pStyle w:val="ArtigoFasul"/>
        <w:spacing w:line="240" w:lineRule="auto"/>
        <w:ind w:left="2268" w:hanging="1"/>
        <w:rPr>
          <w:sz w:val="22"/>
          <w:szCs w:val="20"/>
        </w:rPr>
      </w:pPr>
      <w:r w:rsidRPr="007F55BB">
        <w:rPr>
          <w:sz w:val="22"/>
          <w:szCs w:val="20"/>
        </w:rPr>
        <w:t xml:space="preserve">168. Não é demais ressaltar que as patologias construtivas são absolutamente indesejáveis em qualquer tipo de edificação, notadamente aquelas que afetam a segurança, a durabilidade e os custos de manutenção e operação da obra. Contudo, em obras destinadas a serviços de saúde, as deficiências de qualidade acabam por ganhar maior relevo do que em outras tipologias, especialmente no caso dos acabamentos. Isso porque, algumas falhas de revestimentos, que em outros tipos de uso público (educacional, prisional, cultural etc.) poderiam ser classificadas como "meramente estéticas", em um ambiente em que os ocupantes se encontram em situação de saúde debilitada (altamente vulneráveis à contaminações diversas) e no qual os fluxos devem ser ágeis para preservação da vida (como na chegada de ambulâncias e trânsito de pacientes em macas), como no caso das UPAs - 24 horas, algumas situações </w:t>
      </w:r>
      <w:r w:rsidRPr="007F55BB">
        <w:rPr>
          <w:sz w:val="22"/>
          <w:szCs w:val="20"/>
        </w:rPr>
        <w:lastRenderedPageBreak/>
        <w:t>decorrentes de falhas construtivas podem resultar em severos impactos nos objetivos finais da política pública de assistência à saúde, cabendo ilustrar com alguns exemplos:</w:t>
      </w:r>
    </w:p>
    <w:p w14:paraId="69CD1789" w14:textId="41DDA5F1" w:rsidR="007F55BB" w:rsidRPr="007F55BB" w:rsidRDefault="007F55BB" w:rsidP="007F55BB">
      <w:pPr>
        <w:pStyle w:val="ArtigoFasul"/>
        <w:spacing w:line="240" w:lineRule="auto"/>
        <w:ind w:left="2268" w:hanging="1"/>
        <w:rPr>
          <w:sz w:val="22"/>
          <w:szCs w:val="20"/>
        </w:rPr>
      </w:pPr>
      <w:r w:rsidRPr="007F55BB">
        <w:rPr>
          <w:sz w:val="22"/>
          <w:szCs w:val="20"/>
        </w:rPr>
        <w:t>a) o mofo resultante de uma infiltração pode resultar em agravamento de problemas respiratórios;</w:t>
      </w:r>
    </w:p>
    <w:p w14:paraId="1241A09A" w14:textId="7F4B53CA" w:rsidR="007F55BB" w:rsidRPr="007F55BB" w:rsidRDefault="007F55BB" w:rsidP="007F55BB">
      <w:pPr>
        <w:pStyle w:val="ArtigoFasul"/>
        <w:spacing w:line="240" w:lineRule="auto"/>
        <w:ind w:left="2268" w:hanging="1"/>
        <w:rPr>
          <w:sz w:val="22"/>
          <w:szCs w:val="20"/>
        </w:rPr>
      </w:pPr>
      <w:r w:rsidRPr="007F55BB">
        <w:rPr>
          <w:sz w:val="22"/>
          <w:szCs w:val="20"/>
        </w:rPr>
        <w:t>b) a insuficiência de ventilação, ou de filtragem em ambientes climatizados, podem levar à disseminação de viroses diversas entre pacientes e funcionários,</w:t>
      </w:r>
    </w:p>
    <w:p w14:paraId="70EAD948" w14:textId="2FE20EE1" w:rsidR="007F55BB" w:rsidRPr="007F55BB" w:rsidRDefault="007F55BB" w:rsidP="007F55BB">
      <w:pPr>
        <w:pStyle w:val="ArtigoFasul"/>
        <w:spacing w:line="240" w:lineRule="auto"/>
        <w:ind w:left="2268" w:hanging="1"/>
        <w:rPr>
          <w:sz w:val="22"/>
          <w:szCs w:val="20"/>
        </w:rPr>
      </w:pPr>
      <w:r w:rsidRPr="007F55BB">
        <w:rPr>
          <w:sz w:val="22"/>
          <w:szCs w:val="20"/>
        </w:rPr>
        <w:t>c) falhas nos acabamentos de paredes, tetos ou piso podem dificultar a limpeza e, com isso, permitir a proliferação de micro-organismos, contaminando a população atendida e os funcionários;</w:t>
      </w:r>
    </w:p>
    <w:p w14:paraId="6996FDB9" w14:textId="6B82722E" w:rsidR="007F55BB" w:rsidRPr="007F55BB" w:rsidRDefault="007F55BB" w:rsidP="007F55BB">
      <w:pPr>
        <w:pStyle w:val="ArtigoFasul"/>
        <w:spacing w:line="240" w:lineRule="auto"/>
        <w:ind w:left="2268" w:hanging="1"/>
        <w:rPr>
          <w:sz w:val="22"/>
          <w:szCs w:val="20"/>
        </w:rPr>
      </w:pPr>
      <w:r w:rsidRPr="007F55BB">
        <w:rPr>
          <w:sz w:val="22"/>
          <w:szCs w:val="20"/>
        </w:rPr>
        <w:t>d) a falta de iluminação pode prejudicar o delicado trabalho de médicos e enfermeiros nos cuidados de tratamentos, notadamente em suturas e cirurgias, lembrando que as UPAs funcionam dia e noite; e</w:t>
      </w:r>
    </w:p>
    <w:p w14:paraId="544C0FEC" w14:textId="60908ABB" w:rsidR="007F55BB" w:rsidRDefault="007F55BB" w:rsidP="007F55BB">
      <w:pPr>
        <w:pStyle w:val="ArtigoFasul"/>
        <w:spacing w:line="240" w:lineRule="auto"/>
        <w:ind w:left="2268" w:hanging="1"/>
        <w:rPr>
          <w:sz w:val="22"/>
          <w:szCs w:val="20"/>
        </w:rPr>
      </w:pPr>
      <w:r w:rsidRPr="007F55BB">
        <w:rPr>
          <w:sz w:val="22"/>
          <w:szCs w:val="20"/>
        </w:rPr>
        <w:t xml:space="preserve">e) o mal acabamento de pisos, a falta de rampas em desníveis e o mal funcionamento de portas, que podem emperrar, contribuem para acidentes envolvendo transporte em macas durante </w:t>
      </w:r>
      <w:proofErr w:type="gramStart"/>
      <w:r w:rsidRPr="007F55BB">
        <w:rPr>
          <w:sz w:val="22"/>
          <w:szCs w:val="20"/>
        </w:rPr>
        <w:t>situações de emergência</w:t>
      </w:r>
      <w:proofErr w:type="gramEnd"/>
      <w:r w:rsidRPr="007F55BB">
        <w:rPr>
          <w:sz w:val="22"/>
          <w:szCs w:val="20"/>
        </w:rPr>
        <w:t>, dentre muitas outras situações indesejáveis.</w:t>
      </w:r>
    </w:p>
    <w:p w14:paraId="46752D5F" w14:textId="5A921912" w:rsidR="007F55BB" w:rsidRPr="007F55BB" w:rsidRDefault="007F55BB" w:rsidP="007F55BB">
      <w:pPr>
        <w:pStyle w:val="ArtigoFasul"/>
        <w:spacing w:line="240" w:lineRule="auto"/>
        <w:ind w:left="2268" w:hanging="1"/>
        <w:rPr>
          <w:sz w:val="22"/>
          <w:szCs w:val="20"/>
        </w:rPr>
      </w:pPr>
      <w:r>
        <w:rPr>
          <w:sz w:val="22"/>
          <w:szCs w:val="20"/>
        </w:rPr>
        <w:t>(BRASIL, 2015</w:t>
      </w:r>
      <w:r w:rsidR="00AE72C1">
        <w:rPr>
          <w:sz w:val="22"/>
          <w:szCs w:val="20"/>
        </w:rPr>
        <w:t>d</w:t>
      </w:r>
      <w:r>
        <w:rPr>
          <w:sz w:val="22"/>
          <w:szCs w:val="20"/>
        </w:rPr>
        <w:t xml:space="preserve">, p. </w:t>
      </w:r>
      <w:r w:rsidR="000109A4">
        <w:rPr>
          <w:sz w:val="22"/>
          <w:szCs w:val="20"/>
        </w:rPr>
        <w:t>34)</w:t>
      </w:r>
    </w:p>
    <w:p w14:paraId="69AFBFA3" w14:textId="77777777" w:rsidR="00D32148" w:rsidRPr="00886BF6" w:rsidRDefault="00D32148" w:rsidP="00DA7B57">
      <w:pPr>
        <w:pStyle w:val="ArtigoFasul"/>
        <w:ind w:firstLine="708"/>
      </w:pPr>
    </w:p>
    <w:p w14:paraId="74DAF6CE" w14:textId="1EE5E2E0" w:rsidR="00277085" w:rsidRDefault="00277085" w:rsidP="00DA7B57">
      <w:pPr>
        <w:pStyle w:val="ArtigoFasul"/>
        <w:ind w:firstLine="708"/>
      </w:pPr>
      <w:r>
        <w:t>O Acórdão 608/2015-TCU-Plenário (BRASIL, 2015</w:t>
      </w:r>
      <w:r w:rsidR="00AE72C1">
        <w:t>c</w:t>
      </w:r>
      <w:r>
        <w:t xml:space="preserve">) igualmente mostra um </w:t>
      </w:r>
      <w:r w:rsidR="002E01B7">
        <w:t>nível técnico mais elevado na aplicação de procedimentos e técnicas de investigação de patologias construtivas em obras de edificações públicas</w:t>
      </w:r>
      <w:r w:rsidR="00E21222">
        <w:t xml:space="preserve">, desta feita em creches, </w:t>
      </w:r>
      <w:r w:rsidR="00EA48CE">
        <w:t>E</w:t>
      </w:r>
      <w:r w:rsidR="00E21222">
        <w:t xml:space="preserve">scolas de </w:t>
      </w:r>
      <w:r w:rsidR="00EA48CE">
        <w:t>E</w:t>
      </w:r>
      <w:r w:rsidR="00E21222">
        <w:t xml:space="preserve">nsino </w:t>
      </w:r>
      <w:r w:rsidR="00EA48CE">
        <w:t>F</w:t>
      </w:r>
      <w:r w:rsidR="00E21222">
        <w:t xml:space="preserve">undamental e </w:t>
      </w:r>
      <w:r w:rsidR="00EA48CE">
        <w:t>M</w:t>
      </w:r>
      <w:r w:rsidR="00E21222">
        <w:t>édio e quadras poliesportivas.</w:t>
      </w:r>
    </w:p>
    <w:p w14:paraId="0F65B1F0" w14:textId="639254E4" w:rsidR="00B204B0" w:rsidRDefault="00B204B0" w:rsidP="00DA7B57">
      <w:pPr>
        <w:pStyle w:val="ArtigoFasul"/>
        <w:ind w:firstLine="708"/>
      </w:pPr>
      <w:r>
        <w:t>Nesse acórdão, foram examinadas causas de patologias derivadas de falhas construtivas nas etapas de terraplenagem</w:t>
      </w:r>
      <w:r w:rsidR="00613C06">
        <w:t>, fundação</w:t>
      </w:r>
      <w:r>
        <w:t xml:space="preserve"> e contenção de aterro das obras</w:t>
      </w:r>
      <w:r w:rsidR="00613C06">
        <w:t xml:space="preserve">, ou seja, além dos aspectos relacionados </w:t>
      </w:r>
      <w:r w:rsidR="000074BF">
        <w:t xml:space="preserve">às fases de instalações hidrossanitárias, impermeabilização, cobertura, pintura e acabamento, a equipe de auditoria fez verificações </w:t>
      </w:r>
      <w:r w:rsidR="009B3416">
        <w:t>técnicas d</w:t>
      </w:r>
      <w:r w:rsidR="008451AD">
        <w:t>a</w:t>
      </w:r>
      <w:r w:rsidR="009B3416">
        <w:t xml:space="preserve"> infraestrutura da</w:t>
      </w:r>
      <w:r w:rsidR="008451AD">
        <w:t>s</w:t>
      </w:r>
      <w:r w:rsidR="009B3416">
        <w:t xml:space="preserve"> obra</w:t>
      </w:r>
      <w:r w:rsidR="008451AD">
        <w:t>s</w:t>
      </w:r>
      <w:r w:rsidR="009E67EF">
        <w:t xml:space="preserve"> (BRASIL, 2015</w:t>
      </w:r>
      <w:r w:rsidR="00AE72C1">
        <w:t>c</w:t>
      </w:r>
      <w:r w:rsidR="009E67EF">
        <w:t>)</w:t>
      </w:r>
      <w:r w:rsidR="009B3416">
        <w:t>.</w:t>
      </w:r>
    </w:p>
    <w:p w14:paraId="7E03634A" w14:textId="080DC64A" w:rsidR="003637B9" w:rsidRDefault="003637B9" w:rsidP="00DA7B57">
      <w:pPr>
        <w:pStyle w:val="ArtigoFasul"/>
        <w:ind w:firstLine="708"/>
      </w:pPr>
      <w:r>
        <w:t>Outra importante discussão foi inaugurada pelo Acórdão 1.316/2016-TCU-Plenário</w:t>
      </w:r>
      <w:r w:rsidR="005A376E">
        <w:t xml:space="preserve"> (BRASIL, 2016a)</w:t>
      </w:r>
      <w:r>
        <w:t>, o qual cuidou de auditoria nas obras de construção do edifício do Meio Circulante do Banco Central do Brasil no Rio de Janeiro/RJ.</w:t>
      </w:r>
      <w:r w:rsidR="00BA6148">
        <w:t xml:space="preserve"> Nesse acórdão, houve um debate acerca da melhor alternativa contratual para a conclusão da obra, haja vista o impasse decorrente </w:t>
      </w:r>
      <w:r w:rsidR="00232281">
        <w:t>das deficiências e omissões do projeto básico (BRASIL, 2016</w:t>
      </w:r>
      <w:r w:rsidR="00A94E69">
        <w:t>a</w:t>
      </w:r>
      <w:r w:rsidR="00232281">
        <w:t>).</w:t>
      </w:r>
    </w:p>
    <w:p w14:paraId="1FA1C554" w14:textId="7EFFD4F3" w:rsidR="00232281" w:rsidRDefault="00232281" w:rsidP="00DA7B57">
      <w:pPr>
        <w:pStyle w:val="ArtigoFasul"/>
        <w:ind w:firstLine="708"/>
      </w:pPr>
      <w:r>
        <w:t xml:space="preserve">Dessa maneira, </w:t>
      </w:r>
      <w:r w:rsidR="005F3390">
        <w:t>foi discutido se a rescisão contratual seguida de nova licitação para o remanescente de obra não poderia trazer dificuldades na atribuição de responsabilidades em caso de surgimento de patologias construtivas</w:t>
      </w:r>
      <w:r w:rsidR="008E4D61">
        <w:t xml:space="preserve"> (BRASIL, 2016</w:t>
      </w:r>
      <w:r w:rsidR="00A94E69">
        <w:t>a</w:t>
      </w:r>
      <w:r w:rsidR="008E4D61">
        <w:t>)</w:t>
      </w:r>
      <w:r w:rsidR="005F3390">
        <w:t>.</w:t>
      </w:r>
      <w:r w:rsidR="00AE79E9">
        <w:t xml:space="preserve"> Aliás, aventou-se também que </w:t>
      </w:r>
      <w:r w:rsidR="0005194E">
        <w:t xml:space="preserve">a paralisação da obra derivada da rescisão contratual poderia representar risco de ocorrência de patologias construtivas em razão </w:t>
      </w:r>
      <w:r w:rsidR="0005194E">
        <w:lastRenderedPageBreak/>
        <w:t>de falta de proteção adequada da estrutura de concreto já construída</w:t>
      </w:r>
      <w:r w:rsidR="008E4D61">
        <w:t xml:space="preserve"> (BRASIL, 2016</w:t>
      </w:r>
      <w:r w:rsidR="00A94E69">
        <w:t>a</w:t>
      </w:r>
      <w:r w:rsidR="008E4D61">
        <w:t>)</w:t>
      </w:r>
      <w:r w:rsidR="0005194E">
        <w:t>.</w:t>
      </w:r>
    </w:p>
    <w:p w14:paraId="5E44D130" w14:textId="5E7BD1C5" w:rsidR="00104F6F" w:rsidRDefault="008E4D61" w:rsidP="00DA7B57">
      <w:pPr>
        <w:pStyle w:val="ArtigoFasul"/>
        <w:ind w:firstLine="708"/>
      </w:pPr>
      <w:r>
        <w:t xml:space="preserve">Toda essa evolução e aprendizagem foram consolidadas, conforme é possível perceber da leitura dos Acórdãos mais recentes desta pesquisa – os Acórdãos </w:t>
      </w:r>
      <w:r w:rsidR="00F400D9">
        <w:t>979/2017-TCU-Plenário</w:t>
      </w:r>
      <w:r w:rsidR="007A6D71">
        <w:t xml:space="preserve"> (BRASIL, 2017a)</w:t>
      </w:r>
      <w:r w:rsidR="00F400D9">
        <w:t xml:space="preserve"> e 2.290/2017-TCU-Plenário</w:t>
      </w:r>
      <w:r w:rsidR="007A6D71">
        <w:t xml:space="preserve"> (BRASIL, 2017</w:t>
      </w:r>
      <w:r w:rsidR="008925CA">
        <w:t>c</w:t>
      </w:r>
      <w:r w:rsidR="007A6D71">
        <w:t>)</w:t>
      </w:r>
      <w:r w:rsidR="00F400D9">
        <w:t>.</w:t>
      </w:r>
    </w:p>
    <w:p w14:paraId="259CA38E" w14:textId="675E4FE5" w:rsidR="007B570A" w:rsidRPr="00D3495F" w:rsidRDefault="00D3495F" w:rsidP="00D3495F">
      <w:pPr>
        <w:pStyle w:val="Ttulo2"/>
        <w:numPr>
          <w:ilvl w:val="1"/>
          <w:numId w:val="1"/>
        </w:numPr>
        <w:ind w:left="709" w:hanging="709"/>
        <w:rPr>
          <w:rFonts w:ascii="Arial" w:hAnsi="Arial" w:cs="Arial"/>
          <w:b/>
          <w:bCs/>
          <w:color w:val="auto"/>
          <w:sz w:val="24"/>
          <w:szCs w:val="24"/>
        </w:rPr>
      </w:pPr>
      <w:r>
        <w:rPr>
          <w:rFonts w:ascii="Arial" w:hAnsi="Arial" w:cs="Arial"/>
          <w:b/>
          <w:bCs/>
          <w:color w:val="auto"/>
          <w:sz w:val="24"/>
          <w:szCs w:val="24"/>
        </w:rPr>
        <w:t xml:space="preserve">Cenário posterior ao Acórdão </w:t>
      </w:r>
      <w:r w:rsidR="0083274C">
        <w:rPr>
          <w:rFonts w:ascii="Arial" w:hAnsi="Arial" w:cs="Arial"/>
          <w:b/>
          <w:bCs/>
          <w:color w:val="auto"/>
          <w:sz w:val="24"/>
          <w:szCs w:val="24"/>
        </w:rPr>
        <w:t>1168</w:t>
      </w:r>
      <w:r>
        <w:rPr>
          <w:rFonts w:ascii="Arial" w:hAnsi="Arial" w:cs="Arial"/>
          <w:b/>
          <w:bCs/>
          <w:color w:val="auto"/>
          <w:sz w:val="24"/>
          <w:szCs w:val="24"/>
        </w:rPr>
        <w:t xml:space="preserve">/2014-TCU-Plenário – análise e verificação de patologias em obras </w:t>
      </w:r>
      <w:r w:rsidR="0083274C">
        <w:rPr>
          <w:rFonts w:ascii="Arial" w:hAnsi="Arial" w:cs="Arial"/>
          <w:b/>
          <w:bCs/>
          <w:color w:val="auto"/>
          <w:sz w:val="24"/>
          <w:szCs w:val="24"/>
        </w:rPr>
        <w:t>rodoviárias</w:t>
      </w:r>
    </w:p>
    <w:p w14:paraId="71649B62" w14:textId="000A46C5" w:rsidR="00ED7293" w:rsidRDefault="0083274C" w:rsidP="00DA7B57">
      <w:pPr>
        <w:pStyle w:val="ArtigoFasul"/>
        <w:ind w:firstLine="708"/>
      </w:pPr>
      <w:r>
        <w:t xml:space="preserve">No caso específico de obras rodoviárias, o </w:t>
      </w:r>
      <w:r w:rsidR="00721978">
        <w:t xml:space="preserve">Acórdão 1.168/2014-TCU-Plenário (BRASIL, 2014c) é o </w:t>
      </w:r>
      <w:r w:rsidR="0053206F">
        <w:t xml:space="preserve">que melhor representa </w:t>
      </w:r>
      <w:r w:rsidR="00932201">
        <w:t>o desenvolvimento das equipes</w:t>
      </w:r>
      <w:r w:rsidR="00BA64AF">
        <w:t xml:space="preserve"> técnicas</w:t>
      </w:r>
      <w:r w:rsidR="00932201">
        <w:t xml:space="preserve"> do TCU na aplicação de procedimentos e critérios de avaliação </w:t>
      </w:r>
      <w:r w:rsidR="00BA64AF">
        <w:t>de patologias em obras rodoviárias.</w:t>
      </w:r>
    </w:p>
    <w:p w14:paraId="2A198FD6" w14:textId="7E4746FD" w:rsidR="00E41937" w:rsidRDefault="00BA64AF" w:rsidP="00C2649A">
      <w:pPr>
        <w:pStyle w:val="ArtigoFasul"/>
        <w:ind w:firstLine="708"/>
      </w:pPr>
      <w:r>
        <w:t xml:space="preserve">Esse acórdão </w:t>
      </w:r>
      <w:r w:rsidR="009844EE">
        <w:t>trata de fiscalização em que foram aplicadas técnicas mais avançadas de verificação de defeitos e real condição de trafegabilidade de uma rodovia federal, por meio d</w:t>
      </w:r>
      <w:r w:rsidR="00E41937">
        <w:t>e ensaios técnicos</w:t>
      </w:r>
      <w:r w:rsidR="00C2649A">
        <w:t xml:space="preserve">, os quais buscaram avaliar “a condição estrutural e funcional do pavimento executado” (BRASIL, 2014c, p. 1). </w:t>
      </w:r>
      <w:r w:rsidR="009D65E1">
        <w:t>Dois</w:t>
      </w:r>
      <w:r w:rsidR="00E41937">
        <w:t xml:space="preserve"> exemplo</w:t>
      </w:r>
      <w:r w:rsidR="009D65E1">
        <w:t>s</w:t>
      </w:r>
      <w:r w:rsidR="00C2649A">
        <w:t xml:space="preserve"> de ensaio</w:t>
      </w:r>
      <w:r w:rsidR="009D65E1">
        <w:t>s</w:t>
      </w:r>
      <w:r w:rsidR="00C2649A">
        <w:t xml:space="preserve"> realizado</w:t>
      </w:r>
      <w:r w:rsidR="009D65E1">
        <w:t>s</w:t>
      </w:r>
      <w:r w:rsidR="00C2649A">
        <w:t xml:space="preserve"> fo</w:t>
      </w:r>
      <w:r w:rsidR="009D65E1">
        <w:t>ram</w:t>
      </w:r>
      <w:r w:rsidR="00E41937">
        <w:t xml:space="preserve"> o</w:t>
      </w:r>
      <w:r w:rsidR="009844EE">
        <w:t xml:space="preserve"> </w:t>
      </w:r>
      <w:r w:rsidR="009844EE">
        <w:rPr>
          <w:i/>
          <w:iCs/>
        </w:rPr>
        <w:t>International Roughness Index</w:t>
      </w:r>
      <w:r w:rsidR="009844EE">
        <w:t xml:space="preserve"> (IRI), o qual</w:t>
      </w:r>
      <w:r w:rsidR="00A310AB">
        <w:t xml:space="preserve"> “</w:t>
      </w:r>
      <w:r w:rsidR="0087297C">
        <w:t xml:space="preserve">consiste em medir os desvios da superfície da rodovia em relação a um plano de referência” (BRASIL, 2014c, p. </w:t>
      </w:r>
      <w:r w:rsidR="00E41937">
        <w:t>1)</w:t>
      </w:r>
      <w:r w:rsidR="00D74875">
        <w:t>; e ensaios deflectométricos, que mensuram a def</w:t>
      </w:r>
      <w:r w:rsidR="003125EC">
        <w:t>ormação do pavimento</w:t>
      </w:r>
      <w:r w:rsidR="008A2077">
        <w:t xml:space="preserve"> sob uma carga pré-estabelecida.</w:t>
      </w:r>
    </w:p>
    <w:p w14:paraId="6E51C9CA" w14:textId="1DC4DC3B" w:rsidR="009D65E1" w:rsidRDefault="009D65E1" w:rsidP="00C2649A">
      <w:pPr>
        <w:pStyle w:val="ArtigoFasul"/>
        <w:ind w:firstLine="708"/>
      </w:pPr>
      <w:r>
        <w:t>Como resultado desses ensaios, a equipe de auditoria detectou “falhas estruturais que comprometem, aproximadamente, 22% da extensão do trecho fiscalizado</w:t>
      </w:r>
      <w:r w:rsidR="006111CB">
        <w:t>” (BRASIL, 2014c, p. 1).</w:t>
      </w:r>
    </w:p>
    <w:p w14:paraId="7DE6210A" w14:textId="687C3B2B" w:rsidR="006111CB" w:rsidRDefault="006111CB" w:rsidP="00C2649A">
      <w:pPr>
        <w:pStyle w:val="ArtigoFasul"/>
        <w:ind w:firstLine="708"/>
      </w:pPr>
      <w:r>
        <w:t xml:space="preserve">Brasil (2014c) estimou, ainda, que a correção das patologias </w:t>
      </w:r>
      <w:r w:rsidR="000A3259">
        <w:t>teria custos da ordem de R$ 8 milhões para o DNIT, o que representaria 18% do valor total do contrato de restauração da rodovia fiscalizada.</w:t>
      </w:r>
    </w:p>
    <w:p w14:paraId="1F91B21B" w14:textId="5E21D800" w:rsidR="00260D33" w:rsidRDefault="00FE6A52" w:rsidP="00C2649A">
      <w:pPr>
        <w:pStyle w:val="ArtigoFasul"/>
        <w:ind w:firstLine="708"/>
      </w:pPr>
      <w:r>
        <w:t>Após esse acórdão, outras fiscalizações demonstram o aprimoramento na aplicação de técnicas e procedimentos por parte do TCU</w:t>
      </w:r>
      <w:r w:rsidR="008F0123">
        <w:t xml:space="preserve"> na </w:t>
      </w:r>
      <w:r w:rsidR="00C2566C">
        <w:t>apuração de patologias em obras rodoviárias</w:t>
      </w:r>
      <w:r w:rsidR="006020BF">
        <w:t>, a saber</w:t>
      </w:r>
      <w:r w:rsidR="00260D33">
        <w:t>:</w:t>
      </w:r>
    </w:p>
    <w:p w14:paraId="24E6AF94" w14:textId="77777777" w:rsidR="00260D33" w:rsidRDefault="00260D33" w:rsidP="00260D33">
      <w:pPr>
        <w:pStyle w:val="ArtigoFasul"/>
        <w:numPr>
          <w:ilvl w:val="0"/>
          <w:numId w:val="6"/>
        </w:numPr>
      </w:pPr>
      <w:r>
        <w:t>Acórdão</w:t>
      </w:r>
      <w:r w:rsidR="00FE6A52">
        <w:t xml:space="preserve"> 243/2015-TCU-Plenário</w:t>
      </w:r>
      <w:r w:rsidR="00D81F1A">
        <w:t xml:space="preserve"> (BRASIL, 2015a)</w:t>
      </w:r>
      <w:r w:rsidR="00FE6A52">
        <w:t xml:space="preserve">, </w:t>
      </w:r>
      <w:r w:rsidR="00B954C6">
        <w:t>no qual, além da análise do pavimento, foi também inspecionada a qualidade construtiva de uma obra de arte especial</w:t>
      </w:r>
      <w:r w:rsidR="00D81F1A">
        <w:t xml:space="preserve">; </w:t>
      </w:r>
    </w:p>
    <w:p w14:paraId="65E249F7" w14:textId="77777777" w:rsidR="00260D33" w:rsidRDefault="00260D33" w:rsidP="00260D33">
      <w:pPr>
        <w:pStyle w:val="ArtigoFasul"/>
        <w:numPr>
          <w:ilvl w:val="0"/>
          <w:numId w:val="6"/>
        </w:numPr>
      </w:pPr>
      <w:r>
        <w:lastRenderedPageBreak/>
        <w:t xml:space="preserve">Acórdão </w:t>
      </w:r>
      <w:r w:rsidR="00AE72C1">
        <w:t>549/2015-TCU-Plenário (BRASIL, 2015b), em que fo</w:t>
      </w:r>
      <w:r w:rsidR="00EA0DD9">
        <w:t xml:space="preserve">i avaliada a ocorrência de patologias em serviços de sinalização horizontal e vertical; </w:t>
      </w:r>
      <w:r>
        <w:t>e</w:t>
      </w:r>
    </w:p>
    <w:p w14:paraId="3F5FD424" w14:textId="74AA0960" w:rsidR="006918FE" w:rsidRPr="006918FE" w:rsidRDefault="00260D33" w:rsidP="008F0123">
      <w:pPr>
        <w:pStyle w:val="ArtigoFasul"/>
        <w:numPr>
          <w:ilvl w:val="0"/>
          <w:numId w:val="6"/>
        </w:numPr>
      </w:pPr>
      <w:r>
        <w:t>Acórdão 1.876/2017-TCU-Plenário (BRASIL, 2017</w:t>
      </w:r>
      <w:r w:rsidR="008925CA">
        <w:t>b</w:t>
      </w:r>
      <w:r w:rsidR="003C393E">
        <w:t>)</w:t>
      </w:r>
      <w:r w:rsidR="009A2807">
        <w:t>, em que fo</w:t>
      </w:r>
      <w:r w:rsidR="00B21295">
        <w:t>ram profundamente investigadas as causa</w:t>
      </w:r>
      <w:r w:rsidR="00E3062D">
        <w:t>s</w:t>
      </w:r>
      <w:r w:rsidR="00B21295">
        <w:t xml:space="preserve"> de patologias de trilha de roda e exsudação na rodovia fiscalizada.</w:t>
      </w:r>
    </w:p>
    <w:p w14:paraId="74234EEE" w14:textId="77777777" w:rsidR="00FB219C" w:rsidRPr="00FB219C" w:rsidRDefault="00FB219C" w:rsidP="00FB219C"/>
    <w:p w14:paraId="266A315F" w14:textId="4F481087" w:rsidR="00FB219C" w:rsidRPr="00AF19DE" w:rsidRDefault="004645CC" w:rsidP="00FB219C">
      <w:pPr>
        <w:pStyle w:val="Ttulo2"/>
        <w:numPr>
          <w:ilvl w:val="0"/>
          <w:numId w:val="1"/>
        </w:numPr>
        <w:ind w:left="0" w:firstLine="0"/>
        <w:rPr>
          <w:rFonts w:ascii="Arial" w:hAnsi="Arial" w:cs="Arial"/>
          <w:b/>
          <w:bCs/>
          <w:color w:val="auto"/>
          <w:sz w:val="24"/>
          <w:szCs w:val="24"/>
        </w:rPr>
      </w:pPr>
      <w:r w:rsidRPr="00AF19DE">
        <w:rPr>
          <w:rFonts w:ascii="Arial" w:hAnsi="Arial" w:cs="Arial"/>
          <w:b/>
          <w:bCs/>
          <w:color w:val="auto"/>
          <w:sz w:val="24"/>
          <w:szCs w:val="24"/>
        </w:rPr>
        <w:t>CONSIDERAÇÕES FINAIS</w:t>
      </w:r>
    </w:p>
    <w:p w14:paraId="18DEFC88" w14:textId="25521FBE" w:rsidR="005513A4" w:rsidRDefault="005513A4" w:rsidP="005864C7">
      <w:pPr>
        <w:pStyle w:val="ArtigoFasul"/>
        <w:ind w:firstLine="708"/>
      </w:pPr>
    </w:p>
    <w:p w14:paraId="542F2476" w14:textId="5126690B" w:rsidR="00450236" w:rsidRDefault="005864C7" w:rsidP="000803C0">
      <w:pPr>
        <w:pStyle w:val="ArtigoFasul"/>
        <w:ind w:firstLine="708"/>
      </w:pPr>
      <w:r>
        <w:t xml:space="preserve">Primeiramente, verificou-se que os dados colhidos na presente pesquisa </w:t>
      </w:r>
      <w:r w:rsidR="00C2566C">
        <w:t xml:space="preserve">permitem </w:t>
      </w:r>
      <w:r w:rsidR="00230056">
        <w:t>concluir ter havido desde 2010</w:t>
      </w:r>
      <w:r w:rsidR="00AE51B2">
        <w:t xml:space="preserve"> até 2017</w:t>
      </w:r>
      <w:r w:rsidR="00230056">
        <w:t xml:space="preserve"> um gradual aprimoramento técnico por parte das equipes de fiscalização do TCU </w:t>
      </w:r>
      <w:r w:rsidR="00AE51B2">
        <w:t>na aplicação de procedimentos e técnicas de inspeção de patologias construtivas em obras públicas, em particular obras de edificação e obras rodoviárias.</w:t>
      </w:r>
      <w:r w:rsidR="00450236">
        <w:t xml:space="preserve"> </w:t>
      </w:r>
      <w:r w:rsidR="00777175">
        <w:t>De fato, observou-se que</w:t>
      </w:r>
      <w:r w:rsidR="00D60FC4">
        <w:t xml:space="preserve"> os Acórdãos 524/2014-TCU-Plenário (BRASIL, 2014a)</w:t>
      </w:r>
      <w:r w:rsidR="00450236">
        <w:t xml:space="preserve"> – para o caso de edificações –</w:t>
      </w:r>
      <w:r w:rsidR="00D60FC4">
        <w:t xml:space="preserve"> e 1.168/2014-TCU-Plenário (BRASIL, 2014c)</w:t>
      </w:r>
      <w:r w:rsidR="00450236">
        <w:t xml:space="preserve"> – para o caso de rodovias –</w:t>
      </w:r>
      <w:r w:rsidR="00D60FC4">
        <w:t xml:space="preserve"> </w:t>
      </w:r>
      <w:r w:rsidR="00917CC9">
        <w:t xml:space="preserve">representam marcos </w:t>
      </w:r>
      <w:r w:rsidR="000622C9">
        <w:t xml:space="preserve">nesse processo de evolução </w:t>
      </w:r>
      <w:r w:rsidR="00450236">
        <w:t>na aprendizagem</w:t>
      </w:r>
      <w:r w:rsidR="00C476C0">
        <w:t>.</w:t>
      </w:r>
    </w:p>
    <w:p w14:paraId="686F1F8D" w14:textId="28E8BC2E" w:rsidR="00FB760D" w:rsidRDefault="000803C0" w:rsidP="00254D3A">
      <w:pPr>
        <w:pStyle w:val="ArtigoFasul"/>
        <w:ind w:firstLine="708"/>
      </w:pPr>
      <w:r>
        <w:t xml:space="preserve">Vale destacar que os acórdãos mais recentes, </w:t>
      </w:r>
      <w:r w:rsidR="00D65923">
        <w:t>entre 2014 e</w:t>
      </w:r>
      <w:r>
        <w:t xml:space="preserve"> 2017, apresenta</w:t>
      </w:r>
      <w:r w:rsidR="00953815">
        <w:t>ra</w:t>
      </w:r>
      <w:r>
        <w:t>m nível de profundidade significativamente superior à primeira fiscalização sobre o tema em 2004</w:t>
      </w:r>
      <w:r w:rsidR="00D65923">
        <w:t>. Ao passo que, e</w:t>
      </w:r>
      <w:r w:rsidR="00953815">
        <w:t>ntre 2014 e</w:t>
      </w:r>
      <w:r w:rsidR="00D65923">
        <w:t xml:space="preserve"> 2017, foram utilizados critérios e ensaios robustos para verificação de </w:t>
      </w:r>
      <w:r w:rsidR="00953815">
        <w:t>patologias em várias etapas das obras fiscalizadas, em 2004, a identificação de falhas construtivas ocorreu somente por meio de inspeção visual</w:t>
      </w:r>
      <w:r w:rsidR="00254D3A">
        <w:t>.</w:t>
      </w:r>
    </w:p>
    <w:p w14:paraId="007D1EDC" w14:textId="57D8C73D" w:rsidR="008354CC" w:rsidRDefault="00B6520F" w:rsidP="008354CC">
      <w:pPr>
        <w:pStyle w:val="ArtigoFasul"/>
        <w:ind w:firstLine="708"/>
      </w:pPr>
      <w:r>
        <w:t>Essa constatação de evolução técnica na auditoria de obras públicas</w:t>
      </w:r>
      <w:r w:rsidR="007B0D8A">
        <w:t xml:space="preserve"> ao longo desse período</w:t>
      </w:r>
      <w:r>
        <w:t xml:space="preserve"> por parte do TCU</w:t>
      </w:r>
      <w:r w:rsidR="006E0225">
        <w:t xml:space="preserve"> é corroborada p</w:t>
      </w:r>
      <w:r w:rsidR="00EB1770">
        <w:t>ela publicação “Fiscobras 20 anos”</w:t>
      </w:r>
      <w:r w:rsidR="006E0225">
        <w:t xml:space="preserve"> </w:t>
      </w:r>
      <w:r w:rsidR="00EB1770">
        <w:t>(</w:t>
      </w:r>
      <w:r w:rsidR="006B022B">
        <w:t>B</w:t>
      </w:r>
      <w:r w:rsidR="00EB1770">
        <w:t xml:space="preserve">RASIL, </w:t>
      </w:r>
      <w:r w:rsidR="006B022B">
        <w:t>2016</w:t>
      </w:r>
      <w:r w:rsidR="00A94E69">
        <w:t>b</w:t>
      </w:r>
      <w:r w:rsidR="006B022B">
        <w:t>)</w:t>
      </w:r>
      <w:r w:rsidR="00EB1770">
        <w:t>.</w:t>
      </w:r>
    </w:p>
    <w:p w14:paraId="3BC2B4CC" w14:textId="443072A3" w:rsidR="00924323" w:rsidRDefault="008354CC" w:rsidP="008354CC">
      <w:pPr>
        <w:pStyle w:val="ArtigoFasul"/>
        <w:ind w:firstLine="708"/>
      </w:pPr>
      <w:r>
        <w:t>Por outro lado</w:t>
      </w:r>
      <w:r w:rsidR="00361156">
        <w:t xml:space="preserve">, </w:t>
      </w:r>
      <w:r w:rsidR="00254D3A">
        <w:t>u</w:t>
      </w:r>
      <w:r w:rsidR="00955509">
        <w:t xml:space="preserve">m achado da pesquisa foi </w:t>
      </w:r>
      <w:r>
        <w:t>o fato de que não foram encontradas novas fiscalizações relacionadas a patologias construtivas posteriores a 2017, indicando que ess</w:t>
      </w:r>
      <w:r w:rsidR="003565A8">
        <w:t>a</w:t>
      </w:r>
      <w:r>
        <w:t xml:space="preserve"> tem</w:t>
      </w:r>
      <w:r w:rsidR="003565A8">
        <w:t>ática</w:t>
      </w:r>
      <w:r>
        <w:t xml:space="preserve"> não vem mais</w:t>
      </w:r>
      <w:r w:rsidR="006B2FEB">
        <w:t xml:space="preserve"> sendo tratado de maneira rotineira ou frequente em auditorias do TCU</w:t>
      </w:r>
      <w:r w:rsidR="00924323">
        <w:t>.</w:t>
      </w:r>
    </w:p>
    <w:p w14:paraId="22CAC428" w14:textId="3D7C5F99" w:rsidR="00445109" w:rsidRDefault="00384EB6" w:rsidP="00384EB6">
      <w:pPr>
        <w:pStyle w:val="ArtigoFasul"/>
        <w:ind w:firstLine="708"/>
      </w:pPr>
      <w:r>
        <w:t xml:space="preserve">Entende-se que essa pesquisa pode </w:t>
      </w:r>
      <w:r w:rsidR="00597C2B">
        <w:t>ser a</w:t>
      </w:r>
      <w:r w:rsidR="008F171C">
        <w:t>profundada na busca d</w:t>
      </w:r>
      <w:r w:rsidR="00612B28">
        <w:t xml:space="preserve">e qual foi a eficácia real dos encaminhamentos adotados pelo TCU </w:t>
      </w:r>
      <w:r w:rsidR="00CF74CA">
        <w:t xml:space="preserve">para a correção </w:t>
      </w:r>
      <w:r w:rsidR="00B11782">
        <w:t xml:space="preserve">das patologias encontradas, ou seja, se as determinações, recomendações e sanções </w:t>
      </w:r>
      <w:r w:rsidR="00B11782">
        <w:lastRenderedPageBreak/>
        <w:t>aplicadas pelo Tribunal deram o resultado esperado</w:t>
      </w:r>
      <w:r w:rsidR="00C8427E">
        <w:t>: a obtenção de uma obra com boa qualidade construtiva e apta a beneficiar toda a sociedade.</w:t>
      </w:r>
    </w:p>
    <w:p w14:paraId="338E3C3E" w14:textId="77777777" w:rsidR="00FB219C" w:rsidRDefault="00FB219C" w:rsidP="00FB219C"/>
    <w:p w14:paraId="72A60E86" w14:textId="1CFA8AA2" w:rsidR="004D0CF5" w:rsidRPr="004D0CF5" w:rsidRDefault="004645CC" w:rsidP="005513A4">
      <w:pPr>
        <w:pStyle w:val="Ttulo2"/>
        <w:numPr>
          <w:ilvl w:val="0"/>
          <w:numId w:val="1"/>
        </w:numPr>
        <w:ind w:left="0" w:firstLine="0"/>
        <w:rPr>
          <w:rFonts w:ascii="Arial" w:hAnsi="Arial" w:cs="Arial"/>
          <w:b/>
          <w:bCs/>
          <w:color w:val="auto"/>
          <w:sz w:val="24"/>
          <w:szCs w:val="24"/>
        </w:rPr>
      </w:pPr>
      <w:r w:rsidRPr="00AF19DE">
        <w:rPr>
          <w:rFonts w:ascii="Arial" w:hAnsi="Arial" w:cs="Arial"/>
          <w:b/>
          <w:bCs/>
          <w:color w:val="auto"/>
          <w:sz w:val="24"/>
          <w:szCs w:val="24"/>
        </w:rPr>
        <w:t>REFERÊNCIAS BIBLIOGRÁFICAS</w:t>
      </w:r>
    </w:p>
    <w:p w14:paraId="6DAB543A" w14:textId="7A9EDF44" w:rsidR="004D0CF5" w:rsidRPr="004D0CF5" w:rsidRDefault="004D0CF5" w:rsidP="005513A4">
      <w:pPr>
        <w:pStyle w:val="ArtigoFasul"/>
      </w:pPr>
      <w:r w:rsidRPr="004D0CF5">
        <w:rPr>
          <w:b/>
          <w:bCs/>
        </w:rPr>
        <w:t xml:space="preserve">ASSOCIAÇÃO BRASILEIRA DE NORMAS TÉCNICAS – ABNT. </w:t>
      </w:r>
      <w:r w:rsidRPr="004D0CF5">
        <w:rPr>
          <w:i/>
          <w:iCs/>
        </w:rPr>
        <w:t>ABNT NBR 15575-1: Edificações habitacionais — Desempenho Parte 1: Requisitos gerais</w:t>
      </w:r>
      <w:r w:rsidRPr="004D0CF5">
        <w:t>. Rio de Janeiro, 2013.</w:t>
      </w:r>
    </w:p>
    <w:p w14:paraId="1E773BBB" w14:textId="733E0DD4" w:rsidR="00DE384C" w:rsidRDefault="00901911" w:rsidP="005513A4">
      <w:pPr>
        <w:pStyle w:val="ArtigoFasul"/>
      </w:pPr>
      <w:r w:rsidRPr="00901911">
        <w:rPr>
          <w:b/>
          <w:bCs/>
        </w:rPr>
        <w:t>AGÊNCIA NACIONAL DE VIGILÂNCIA SANITÁRIA (ANVISA)</w:t>
      </w:r>
      <w:r w:rsidR="00DE384C">
        <w:t xml:space="preserve">. </w:t>
      </w:r>
      <w:r w:rsidR="002B3083">
        <w:rPr>
          <w:i/>
          <w:iCs/>
        </w:rPr>
        <w:t>Resolução-RDC nº 50, de 21 de fevereiro de 2002</w:t>
      </w:r>
      <w:r w:rsidR="00ED71FC">
        <w:rPr>
          <w:i/>
          <w:iCs/>
        </w:rPr>
        <w:t xml:space="preserve"> - </w:t>
      </w:r>
      <w:r w:rsidR="00ED71FC" w:rsidRPr="00ED71FC">
        <w:rPr>
          <w:i/>
          <w:iCs/>
        </w:rPr>
        <w:t>Dispõe sobre o Regulamento Técnico para planejamento, programação, elaboração e avaliação de projetos físicos de estabelecimentos assistenciais de saúde</w:t>
      </w:r>
      <w:r w:rsidR="002B3083">
        <w:t xml:space="preserve">. Brasília, 2002. Disponível em: </w:t>
      </w:r>
      <w:hyperlink r:id="rId13" w:history="1">
        <w:r w:rsidR="00EE3112" w:rsidRPr="000C654C">
          <w:rPr>
            <w:rStyle w:val="Hyperlink"/>
          </w:rPr>
          <w:t>https://bvsms.saude.gov.br/bvs/saudelegis/anvisa/2002/rdc0050_21_02_2002.html</w:t>
        </w:r>
      </w:hyperlink>
      <w:r w:rsidR="00EE3112">
        <w:t>, acesso em 7 dez. 2024.</w:t>
      </w:r>
    </w:p>
    <w:p w14:paraId="3AA3F666" w14:textId="034721CA" w:rsidR="00A655F9" w:rsidRPr="003D4C15" w:rsidRDefault="00901911" w:rsidP="005513A4">
      <w:pPr>
        <w:pStyle w:val="ArtigoFasul"/>
      </w:pPr>
      <w:r w:rsidRPr="00901911">
        <w:rPr>
          <w:b/>
          <w:bCs/>
        </w:rPr>
        <w:t>AGÊNCIA NACIONAL DE VIGILÂNCIA SANITÁRIA (ANVISA)</w:t>
      </w:r>
      <w:r w:rsidR="00301650">
        <w:t xml:space="preserve">. </w:t>
      </w:r>
      <w:r w:rsidR="00301650" w:rsidRPr="00301650">
        <w:rPr>
          <w:i/>
          <w:iCs/>
        </w:rPr>
        <w:t>Resolução-RDC</w:t>
      </w:r>
      <w:r w:rsidR="00301650">
        <w:rPr>
          <w:i/>
          <w:iCs/>
        </w:rPr>
        <w:t xml:space="preserve"> nº 51</w:t>
      </w:r>
      <w:r w:rsidR="003D4C15">
        <w:rPr>
          <w:i/>
          <w:iCs/>
        </w:rPr>
        <w:t xml:space="preserve">, de 6 de outubro de 2011 - </w:t>
      </w:r>
      <w:r w:rsidR="003D4C15" w:rsidRPr="003D4C15">
        <w:rPr>
          <w:i/>
          <w:iCs/>
        </w:rPr>
        <w:t>Dispõe sobre os requisitos mínimos para a análise, avaliação e aprovação dos projetos físicos de estabelecimentos de saúde no Sistema Nacional de Vigilância Sanitária (SNVS) e dá outras providências.</w:t>
      </w:r>
      <w:r w:rsidR="003D4C15">
        <w:t xml:space="preserve"> Brasília, 2011. Disponível em: </w:t>
      </w:r>
      <w:hyperlink r:id="rId14" w:history="1">
        <w:r w:rsidR="003D4C15" w:rsidRPr="000C654C">
          <w:rPr>
            <w:rStyle w:val="Hyperlink"/>
          </w:rPr>
          <w:t>https://anvisalegis.datalegis.net/action/ActionDatalegis.php?acao=abrirTextoAto&amp;tipo=RDC&amp;numeroAto=00000051&amp;seqAto=000&amp;valorAno=2011&amp;orgao=RDC/DC/ANVISA/MS&amp;codTipo=&amp;desItem=&amp;desItemFim=&amp;cod_menu=1696&amp;cod_modulo=134&amp;pesquisa=true</w:t>
        </w:r>
      </w:hyperlink>
      <w:r w:rsidR="003D4C15">
        <w:t>, acesso em 7 dez. 2024.</w:t>
      </w:r>
    </w:p>
    <w:p w14:paraId="359CA100" w14:textId="46394775" w:rsidR="00265D0F" w:rsidRDefault="008E6CCF" w:rsidP="005513A4">
      <w:pPr>
        <w:pStyle w:val="ArtigoFasul"/>
      </w:pPr>
      <w:r w:rsidRPr="008E6CCF">
        <w:rPr>
          <w:b/>
          <w:bCs/>
        </w:rPr>
        <w:t>BRASIL</w:t>
      </w:r>
      <w:r>
        <w:t xml:space="preserve">. </w:t>
      </w:r>
      <w:r>
        <w:rPr>
          <w:rStyle w:val="nfase"/>
        </w:rPr>
        <w:t>Constituição da República Federativa do Brasil de 1988</w:t>
      </w:r>
      <w:r>
        <w:t>. 1988. Disponível em: &lt;</w:t>
      </w:r>
      <w:hyperlink r:id="rId15" w:history="1">
        <w:r w:rsidR="00CC3E4F" w:rsidRPr="00043FAF">
          <w:rPr>
            <w:rStyle w:val="Hyperlink"/>
          </w:rPr>
          <w:t>https://www.planalto.gov.br/ccivil_03/constituicao/constituicao.htm</w:t>
        </w:r>
      </w:hyperlink>
      <w:r>
        <w:t xml:space="preserve">&gt;. Acesso em: </w:t>
      </w:r>
      <w:r w:rsidR="00D06DFE">
        <w:t>18</w:t>
      </w:r>
      <w:r w:rsidR="00CC3E4F">
        <w:t xml:space="preserve"> </w:t>
      </w:r>
      <w:r w:rsidR="00D06DFE">
        <w:t>nov</w:t>
      </w:r>
      <w:r w:rsidR="00CC3E4F">
        <w:t>. 2024.</w:t>
      </w:r>
    </w:p>
    <w:p w14:paraId="24B24214" w14:textId="5D62BE40" w:rsidR="00330F49" w:rsidRDefault="00F2749C" w:rsidP="005513A4">
      <w:pPr>
        <w:pStyle w:val="ArtigoFasul"/>
      </w:pPr>
      <w:r w:rsidRPr="00F2749C">
        <w:rPr>
          <w:b/>
          <w:bCs/>
        </w:rPr>
        <w:t>BRASIL</w:t>
      </w:r>
      <w:r w:rsidRPr="00F2749C">
        <w:t xml:space="preserve">. Tribunal de Contas da União. </w:t>
      </w:r>
      <w:r w:rsidRPr="00F2749C">
        <w:rPr>
          <w:i/>
          <w:iCs/>
        </w:rPr>
        <w:t xml:space="preserve">Acórdão 1.025/2004. </w:t>
      </w:r>
      <w:r w:rsidRPr="00F2749C">
        <w:t xml:space="preserve">Plenário. Rel. Min. Marcos Vinícios Vilaça. Ata 27/2004-Plenário. Sessão de 28/07/2004. Brasília, 2004. Disponível em: </w:t>
      </w:r>
      <w:hyperlink r:id="rId16" w:tgtFrame="_new" w:history="1">
        <w:r w:rsidRPr="00F2749C">
          <w:rPr>
            <w:rStyle w:val="Hyperlink"/>
          </w:rPr>
          <w:t>https://pesquisa.apps.tcu.gov.br/redireciona/acordao-completo/ACORDAO-COMPLETO-18601</w:t>
        </w:r>
      </w:hyperlink>
      <w:r w:rsidRPr="00F2749C">
        <w:t>. Acesso em: 21 nov. 2024.</w:t>
      </w:r>
    </w:p>
    <w:p w14:paraId="02BF1BC2" w14:textId="373DECB6" w:rsidR="00D14251" w:rsidRDefault="00363B66" w:rsidP="005513A4">
      <w:pPr>
        <w:pStyle w:val="ArtigoFasul"/>
      </w:pPr>
      <w:r w:rsidRPr="00363B66">
        <w:rPr>
          <w:b/>
          <w:bCs/>
        </w:rPr>
        <w:t>BRASIL</w:t>
      </w:r>
      <w:r w:rsidRPr="00363B66">
        <w:t xml:space="preserve">. Tribunal de Contas da União. </w:t>
      </w:r>
      <w:r w:rsidRPr="00363B66">
        <w:rPr>
          <w:i/>
          <w:iCs/>
        </w:rPr>
        <w:t>Acórdão 2.760/2010</w:t>
      </w:r>
      <w:r w:rsidR="004E7DDA">
        <w:rPr>
          <w:i/>
          <w:iCs/>
        </w:rPr>
        <w:t xml:space="preserve">. </w:t>
      </w:r>
      <w:r w:rsidRPr="004E7DDA">
        <w:t>Plenário</w:t>
      </w:r>
      <w:r w:rsidR="004E7DDA">
        <w:t>. Rel. Min. Augusto Sherman. Ata 38/2010-Plenário. Sessão de 13/10/2010</w:t>
      </w:r>
      <w:r w:rsidRPr="00363B66">
        <w:t xml:space="preserve">. Brasília, 2010. Disponível em: </w:t>
      </w:r>
      <w:hyperlink r:id="rId17" w:tgtFrame="_new" w:history="1">
        <w:r w:rsidRPr="00363B66">
          <w:rPr>
            <w:rStyle w:val="Hyperlink"/>
          </w:rPr>
          <w:t>https://pesquisa.apps.tcu.gov.br/redireciona/acordao-completo/ACORDAO-COMPLETO-1157692</w:t>
        </w:r>
      </w:hyperlink>
      <w:r w:rsidRPr="00363B66">
        <w:t>. Acesso em: 21 nov. 2024.</w:t>
      </w:r>
    </w:p>
    <w:p w14:paraId="177C45BD" w14:textId="72731179" w:rsidR="00D06DFE" w:rsidRDefault="00D06DFE" w:rsidP="005513A4">
      <w:pPr>
        <w:pStyle w:val="ArtigoFasul"/>
      </w:pPr>
      <w:r w:rsidRPr="00FE2479">
        <w:rPr>
          <w:b/>
          <w:bCs/>
        </w:rPr>
        <w:lastRenderedPageBreak/>
        <w:t>BRASIL.</w:t>
      </w:r>
      <w:r w:rsidRPr="00FE2479">
        <w:t xml:space="preserve"> Tribunal de Contas da União. </w:t>
      </w:r>
      <w:r>
        <w:rPr>
          <w:i/>
          <w:iCs/>
        </w:rPr>
        <w:t>Roteiro de Auditoria de Obras Públicas</w:t>
      </w:r>
      <w:r w:rsidRPr="00FE2479">
        <w:t xml:space="preserve">. </w:t>
      </w:r>
      <w:r w:rsidR="00C36102">
        <w:t>2012</w:t>
      </w:r>
      <w:r w:rsidRPr="00FE2479">
        <w:t xml:space="preserve">. Disponível em: </w:t>
      </w:r>
      <w:hyperlink r:id="rId18" w:history="1">
        <w:r w:rsidR="00F818F5" w:rsidRPr="009D183F">
          <w:rPr>
            <w:rStyle w:val="Hyperlink"/>
          </w:rPr>
          <w:t>https://www.cjf.jus.br/cjf/unidades/controle-interno/normatizacao/roteiro-de-auditoria-de-obras-publicas-tcu/view/++widget++form.widgets.arquivo/@@download/Roteiro+de+Auditoria+de+Obras.pdf</w:t>
        </w:r>
      </w:hyperlink>
      <w:r w:rsidRPr="00FE2479">
        <w:t xml:space="preserve">. Acesso em: </w:t>
      </w:r>
      <w:r w:rsidR="00F818F5">
        <w:t>21 nov</w:t>
      </w:r>
      <w:r w:rsidRPr="00FE2479">
        <w:t>. 2024.</w:t>
      </w:r>
    </w:p>
    <w:p w14:paraId="5230A05F" w14:textId="17755DDC" w:rsidR="00D14251" w:rsidRDefault="00D14251" w:rsidP="005513A4">
      <w:pPr>
        <w:pStyle w:val="ArtigoFasul"/>
      </w:pPr>
      <w:r w:rsidRPr="00D14251">
        <w:rPr>
          <w:b/>
          <w:bCs/>
        </w:rPr>
        <w:t>BRASIL</w:t>
      </w:r>
      <w:r w:rsidRPr="00D14251">
        <w:t xml:space="preserve">. Tribunal de Contas da União. </w:t>
      </w:r>
      <w:r w:rsidRPr="00D14251">
        <w:rPr>
          <w:i/>
          <w:iCs/>
        </w:rPr>
        <w:t xml:space="preserve">Acórdão 524/2014. </w:t>
      </w:r>
      <w:r w:rsidRPr="00D14251">
        <w:t>Plenário</w:t>
      </w:r>
      <w:r w:rsidR="00F24A80">
        <w:t>. Rel. Min. Weder de Oliveira. Ata 7/2014-Plenário. Sessão de 12/03/2014</w:t>
      </w:r>
      <w:r w:rsidRPr="00D14251">
        <w:t>. Brasília, 2014</w:t>
      </w:r>
      <w:r w:rsidR="005A376E">
        <w:t>a</w:t>
      </w:r>
      <w:r w:rsidRPr="00D14251">
        <w:t xml:space="preserve">. Disponível em: </w:t>
      </w:r>
      <w:hyperlink r:id="rId19" w:tgtFrame="_new" w:history="1">
        <w:r w:rsidRPr="00D14251">
          <w:rPr>
            <w:rStyle w:val="Hyperlink"/>
          </w:rPr>
          <w:t>https://pesquisa.apps.tcu.gov.br/redireciona/acordao-completo/ACORDAO-COMPLETO-1297201</w:t>
        </w:r>
      </w:hyperlink>
      <w:r w:rsidRPr="00D14251">
        <w:t>. Acesso em: 21 nov. 2024.</w:t>
      </w:r>
    </w:p>
    <w:p w14:paraId="3548A72A" w14:textId="0C9E78BF" w:rsidR="005A376E" w:rsidRDefault="0094652B" w:rsidP="005513A4">
      <w:pPr>
        <w:pStyle w:val="ArtigoFasul"/>
      </w:pPr>
      <w:r w:rsidRPr="0094652B">
        <w:rPr>
          <w:b/>
          <w:bCs/>
        </w:rPr>
        <w:t xml:space="preserve">BRASIL. </w:t>
      </w:r>
      <w:r w:rsidRPr="0094652B">
        <w:t xml:space="preserve">Tribunal de Contas da União. </w:t>
      </w:r>
      <w:r w:rsidRPr="0094652B">
        <w:rPr>
          <w:i/>
          <w:iCs/>
        </w:rPr>
        <w:t xml:space="preserve">Acórdão 1.101/2014. </w:t>
      </w:r>
      <w:r w:rsidRPr="0094652B">
        <w:t>Plenário</w:t>
      </w:r>
      <w:r>
        <w:t xml:space="preserve">. Rel. Min. </w:t>
      </w:r>
      <w:r w:rsidR="005A376E">
        <w:t>Benjamin Zymler. Ata 14/2014-Plenário. Sessão de 30/04/2014</w:t>
      </w:r>
      <w:r w:rsidRPr="0094652B">
        <w:t>. Brasília, 2014</w:t>
      </w:r>
      <w:r w:rsidR="005A376E">
        <w:t>b</w:t>
      </w:r>
      <w:r w:rsidRPr="0094652B">
        <w:t xml:space="preserve">. Disponível em: </w:t>
      </w:r>
      <w:hyperlink r:id="rId20" w:tgtFrame="_new" w:history="1">
        <w:r w:rsidRPr="0094652B">
          <w:rPr>
            <w:rStyle w:val="Hyperlink"/>
          </w:rPr>
          <w:t>https://pesquisa.apps.tcu.gov.br/redireciona/acordao-completo/ACORDAO-COMPLETO-1308531</w:t>
        </w:r>
      </w:hyperlink>
      <w:r w:rsidRPr="0094652B">
        <w:t>. Acesso em: 21 nov. 2024.</w:t>
      </w:r>
    </w:p>
    <w:p w14:paraId="71718D02" w14:textId="4990CF2A" w:rsidR="00315FED" w:rsidRDefault="00B02BE9" w:rsidP="005513A4">
      <w:pPr>
        <w:pStyle w:val="ArtigoFasul"/>
      </w:pPr>
      <w:r w:rsidRPr="00B02BE9">
        <w:rPr>
          <w:b/>
          <w:bCs/>
        </w:rPr>
        <w:t>BRASIL</w:t>
      </w:r>
      <w:r w:rsidRPr="00B02BE9">
        <w:t xml:space="preserve">. Tribunal de Contas da União. </w:t>
      </w:r>
      <w:r w:rsidRPr="00B02BE9">
        <w:rPr>
          <w:i/>
          <w:iCs/>
        </w:rPr>
        <w:t xml:space="preserve">Acórdão 1.168/2014. </w:t>
      </w:r>
      <w:r w:rsidRPr="00B02BE9">
        <w:t>Plenário</w:t>
      </w:r>
      <w:r>
        <w:t xml:space="preserve">. Rel. Min. </w:t>
      </w:r>
      <w:r w:rsidR="00CC0485">
        <w:t>José Múcio Monteiro. Ata 15/2014-Plenário. Sessão de 07/05/2014</w:t>
      </w:r>
      <w:r w:rsidRPr="00B02BE9">
        <w:t>. Brasília, 2014</w:t>
      </w:r>
      <w:r>
        <w:t>c</w:t>
      </w:r>
      <w:r w:rsidRPr="00B02BE9">
        <w:t xml:space="preserve">. Disponível em: </w:t>
      </w:r>
      <w:hyperlink r:id="rId21" w:tgtFrame="_new" w:history="1">
        <w:r w:rsidRPr="00B02BE9">
          <w:rPr>
            <w:rStyle w:val="Hyperlink"/>
          </w:rPr>
          <w:t>https://pesquisa.apps.tcu.gov.br/redireciona/acordao-completo/ACORDAO-COMPLETO-1309053</w:t>
        </w:r>
      </w:hyperlink>
      <w:r w:rsidRPr="00B02BE9">
        <w:t>. Acesso em: 21 nov. 2024.</w:t>
      </w:r>
    </w:p>
    <w:p w14:paraId="7F4672F8" w14:textId="53686150" w:rsidR="00315FED" w:rsidRPr="009E4729" w:rsidRDefault="009E4729" w:rsidP="005513A4">
      <w:pPr>
        <w:pStyle w:val="ArtigoFasul"/>
      </w:pPr>
      <w:r w:rsidRPr="009E4729">
        <w:rPr>
          <w:b/>
          <w:bCs/>
        </w:rPr>
        <w:t>BRASIL</w:t>
      </w:r>
      <w:r w:rsidRPr="009E4729">
        <w:t xml:space="preserve">. Tribunal de Contas da União. </w:t>
      </w:r>
      <w:r w:rsidRPr="009E4729">
        <w:rPr>
          <w:i/>
          <w:iCs/>
        </w:rPr>
        <w:t>Acórdão 2580/2014</w:t>
      </w:r>
      <w:r w:rsidRPr="009E4729">
        <w:t>. Plenário</w:t>
      </w:r>
      <w:r>
        <w:t>. Rel. Min. Bruno Dantas. Ata 38/2014-Plenário. Data da sessão 01º/10/2014. Brasília, 2014d</w:t>
      </w:r>
      <w:r w:rsidRPr="009E4729">
        <w:t>. Disponível em: </w:t>
      </w:r>
      <w:hyperlink r:id="rId22" w:history="1">
        <w:r w:rsidRPr="009E4729">
          <w:rPr>
            <w:rStyle w:val="Hyperlink"/>
          </w:rPr>
          <w:t>https://pesquisa.apps.tcu.gov.br/redireciona/acordao-completo/ACORDAO-COMPLETO-1317966</w:t>
        </w:r>
      </w:hyperlink>
      <w:r w:rsidRPr="009E4729">
        <w:t>. Acesso em: 22 nov. 2024.</w:t>
      </w:r>
    </w:p>
    <w:p w14:paraId="4C8A4298" w14:textId="666A18D8" w:rsidR="003227A0" w:rsidRDefault="00114656" w:rsidP="005513A4">
      <w:pPr>
        <w:pStyle w:val="ArtigoFasul"/>
      </w:pPr>
      <w:r w:rsidRPr="00114656">
        <w:rPr>
          <w:b/>
          <w:bCs/>
        </w:rPr>
        <w:t xml:space="preserve">BRASIL. </w:t>
      </w:r>
      <w:r w:rsidRPr="006038A4">
        <w:t xml:space="preserve">Tribunal de Contas da União. </w:t>
      </w:r>
      <w:r w:rsidRPr="006038A4">
        <w:rPr>
          <w:i/>
          <w:iCs/>
        </w:rPr>
        <w:t xml:space="preserve">Acórdão 243/2015. </w:t>
      </w:r>
      <w:r w:rsidRPr="006038A4">
        <w:t>Plenário</w:t>
      </w:r>
      <w:r w:rsidR="006038A4">
        <w:t>. Rel. Min. José Múcio Monteiro. Ata 5/2015-Plenário. Sessão de 11/02/2015</w:t>
      </w:r>
      <w:r w:rsidRPr="006038A4">
        <w:t>. Brasília, 2015</w:t>
      </w:r>
      <w:r w:rsidR="006038A4">
        <w:t>a</w:t>
      </w:r>
      <w:r w:rsidRPr="006038A4">
        <w:t xml:space="preserve">. Disponível em: </w:t>
      </w:r>
      <w:hyperlink r:id="rId23" w:tgtFrame="_new" w:history="1">
        <w:r w:rsidRPr="006038A4">
          <w:rPr>
            <w:rStyle w:val="Hyperlink"/>
          </w:rPr>
          <w:t>https://pesquisa.apps.tcu.gov.br/redireciona/acordao-completo/ACORDAO-COMPLETO-1371229</w:t>
        </w:r>
      </w:hyperlink>
      <w:r w:rsidRPr="006038A4">
        <w:t>. Acesso em: 21 nov. 2024.</w:t>
      </w:r>
    </w:p>
    <w:p w14:paraId="79F2B905" w14:textId="0F480E0F" w:rsidR="00A671B6" w:rsidRPr="006038A4" w:rsidRDefault="00A671B6" w:rsidP="005513A4">
      <w:pPr>
        <w:pStyle w:val="ArtigoFasul"/>
      </w:pPr>
      <w:r w:rsidRPr="00A671B6">
        <w:rPr>
          <w:b/>
          <w:bCs/>
        </w:rPr>
        <w:t>BRASIL</w:t>
      </w:r>
      <w:r w:rsidRPr="00A671B6">
        <w:t xml:space="preserve">. Tribunal de Contas da União. </w:t>
      </w:r>
      <w:r w:rsidRPr="00A671B6">
        <w:rPr>
          <w:i/>
          <w:iCs/>
        </w:rPr>
        <w:t xml:space="preserve">Acórdão 549/2015. </w:t>
      </w:r>
      <w:r w:rsidRPr="00A671B6">
        <w:t>Plenário</w:t>
      </w:r>
      <w:r>
        <w:t>. Rel. Min. José Múcio Monteiro. Ata 9/2015-Plenário. Sessão de 18/03/2015</w:t>
      </w:r>
      <w:r w:rsidRPr="00A671B6">
        <w:t>. Brasília, 2015</w:t>
      </w:r>
      <w:r>
        <w:t>b</w:t>
      </w:r>
      <w:r w:rsidRPr="00A671B6">
        <w:t xml:space="preserve">. Disponível em: </w:t>
      </w:r>
      <w:hyperlink r:id="rId24" w:tgtFrame="_new" w:history="1">
        <w:r w:rsidRPr="00A671B6">
          <w:rPr>
            <w:rStyle w:val="Hyperlink"/>
          </w:rPr>
          <w:t>https://pesquisa.apps.tcu.gov.br/redireciona/acordao-completo/ACORDAO-COMPLETO-1391564</w:t>
        </w:r>
      </w:hyperlink>
      <w:r w:rsidRPr="00A671B6">
        <w:t>. Acesso em: 21 nov. 2024.</w:t>
      </w:r>
    </w:p>
    <w:p w14:paraId="205C9B04" w14:textId="5A500507" w:rsidR="00CC0485" w:rsidRDefault="00086FCB" w:rsidP="005513A4">
      <w:pPr>
        <w:pStyle w:val="ArtigoFasul"/>
      </w:pPr>
      <w:r w:rsidRPr="00086FCB">
        <w:rPr>
          <w:b/>
          <w:bCs/>
        </w:rPr>
        <w:t>BRASIL</w:t>
      </w:r>
      <w:r w:rsidRPr="00086FCB">
        <w:t xml:space="preserve">. Tribunal de Contas da União. </w:t>
      </w:r>
      <w:r w:rsidRPr="00086FCB">
        <w:rPr>
          <w:i/>
          <w:iCs/>
        </w:rPr>
        <w:t xml:space="preserve">Acórdão 608/2015. </w:t>
      </w:r>
      <w:r w:rsidRPr="00086FCB">
        <w:t>Plenário</w:t>
      </w:r>
      <w:r>
        <w:t xml:space="preserve">. Rel. Min. Bruno Dantas. Ata 10/2015-Plenário. </w:t>
      </w:r>
      <w:r w:rsidR="003227A0">
        <w:t>Sessão de 25/03/2015</w:t>
      </w:r>
      <w:r w:rsidRPr="00086FCB">
        <w:t>. Brasília, 2015</w:t>
      </w:r>
      <w:r w:rsidR="003227A0">
        <w:t>c</w:t>
      </w:r>
      <w:r w:rsidRPr="00086FCB">
        <w:t xml:space="preserve">. Disponível em: </w:t>
      </w:r>
      <w:hyperlink r:id="rId25" w:tgtFrame="_new" w:history="1">
        <w:r w:rsidRPr="00086FCB">
          <w:rPr>
            <w:rStyle w:val="Hyperlink"/>
          </w:rPr>
          <w:t>https://pesquisa.apps.tcu.gov.br/redireciona/acordao-completo/ACORDAO-COMPLETO-1397731</w:t>
        </w:r>
      </w:hyperlink>
      <w:r w:rsidRPr="00086FCB">
        <w:t>. Acesso em: 21 nov. 2024.</w:t>
      </w:r>
    </w:p>
    <w:p w14:paraId="19254A2A" w14:textId="5A9F7D82" w:rsidR="00484149" w:rsidRDefault="0074628B" w:rsidP="005513A4">
      <w:pPr>
        <w:pStyle w:val="ArtigoFasul"/>
      </w:pPr>
      <w:r w:rsidRPr="0074628B">
        <w:rPr>
          <w:b/>
          <w:bCs/>
        </w:rPr>
        <w:lastRenderedPageBreak/>
        <w:t>BRASIL</w:t>
      </w:r>
      <w:r w:rsidRPr="0074628B">
        <w:t xml:space="preserve">. Tribunal de Contas da União. </w:t>
      </w:r>
      <w:r w:rsidRPr="0074628B">
        <w:rPr>
          <w:i/>
          <w:iCs/>
        </w:rPr>
        <w:t xml:space="preserve">Acórdão 1.426/2015. </w:t>
      </w:r>
      <w:r w:rsidRPr="0074628B">
        <w:t>Plenário</w:t>
      </w:r>
      <w:r w:rsidR="00F5751D">
        <w:t>. Rel. Min. Benjamin Zymler. Ata 21/2015-Plenário. Sessão de 10/06/2015</w:t>
      </w:r>
      <w:r w:rsidRPr="0074628B">
        <w:t>. Brasília, 2015</w:t>
      </w:r>
      <w:r w:rsidR="00F5751D">
        <w:t>d</w:t>
      </w:r>
      <w:r w:rsidRPr="0074628B">
        <w:t xml:space="preserve">. Disponível em: </w:t>
      </w:r>
      <w:hyperlink r:id="rId26" w:tgtFrame="_new" w:history="1">
        <w:r w:rsidRPr="0074628B">
          <w:rPr>
            <w:rStyle w:val="Hyperlink"/>
          </w:rPr>
          <w:t>https://pesquisa.apps.tcu.gov.br/redireciona/acordao-completo/ACORDAO-COMPLETO-1411697</w:t>
        </w:r>
      </w:hyperlink>
      <w:r w:rsidRPr="0074628B">
        <w:t>. Acesso em: 21 nov. 2024.</w:t>
      </w:r>
    </w:p>
    <w:p w14:paraId="3D00E1AA" w14:textId="0FD96CBE" w:rsidR="00AD23B2" w:rsidRDefault="00AD23B2" w:rsidP="00AD23B2">
      <w:pPr>
        <w:pStyle w:val="ArtigoFasul"/>
      </w:pPr>
      <w:r w:rsidRPr="0074628B">
        <w:rPr>
          <w:b/>
          <w:bCs/>
        </w:rPr>
        <w:t>BRASIL</w:t>
      </w:r>
      <w:r w:rsidRPr="0074628B">
        <w:t xml:space="preserve">. Tribunal de Contas da União. </w:t>
      </w:r>
      <w:r w:rsidRPr="0074628B">
        <w:rPr>
          <w:i/>
          <w:iCs/>
        </w:rPr>
        <w:t>Acórdão 1.</w:t>
      </w:r>
      <w:r>
        <w:rPr>
          <w:i/>
          <w:iCs/>
        </w:rPr>
        <w:t>316</w:t>
      </w:r>
      <w:r w:rsidRPr="0074628B">
        <w:rPr>
          <w:i/>
          <w:iCs/>
        </w:rPr>
        <w:t>/201</w:t>
      </w:r>
      <w:r>
        <w:rPr>
          <w:i/>
          <w:iCs/>
        </w:rPr>
        <w:t>6</w:t>
      </w:r>
      <w:r w:rsidRPr="0074628B">
        <w:rPr>
          <w:i/>
          <w:iCs/>
        </w:rPr>
        <w:t xml:space="preserve">. </w:t>
      </w:r>
      <w:r w:rsidRPr="0074628B">
        <w:t>Plenário</w:t>
      </w:r>
      <w:r>
        <w:t xml:space="preserve">. Rel. Min. Ana Arraes. Ata </w:t>
      </w:r>
      <w:r w:rsidR="00AB1448">
        <w:t>18</w:t>
      </w:r>
      <w:r>
        <w:t>/201</w:t>
      </w:r>
      <w:r w:rsidR="00AB1448">
        <w:t>6</w:t>
      </w:r>
      <w:r>
        <w:t xml:space="preserve">-Plenário. Sessão de </w:t>
      </w:r>
      <w:r w:rsidR="00AB1448">
        <w:t>25</w:t>
      </w:r>
      <w:r>
        <w:t>/0</w:t>
      </w:r>
      <w:r w:rsidR="00AB1448">
        <w:t>5</w:t>
      </w:r>
      <w:r>
        <w:t>/201</w:t>
      </w:r>
      <w:r w:rsidR="00AB1448">
        <w:t>6</w:t>
      </w:r>
      <w:r w:rsidRPr="0074628B">
        <w:t>. Brasília, 201</w:t>
      </w:r>
      <w:r w:rsidR="00AB1448">
        <w:t>6a</w:t>
      </w:r>
      <w:r w:rsidRPr="0074628B">
        <w:t xml:space="preserve">. Disponível em: </w:t>
      </w:r>
      <w:hyperlink r:id="rId27" w:history="1">
        <w:r w:rsidR="00AB1448" w:rsidRPr="0093198C">
          <w:rPr>
            <w:rStyle w:val="Hyperlink"/>
          </w:rPr>
          <w:t>https://pesquisa.apps.tcu.gov.br/redireciona/acordao-completo/ACORDAO-COMPLETO-1736851</w:t>
        </w:r>
      </w:hyperlink>
      <w:r w:rsidRPr="0074628B">
        <w:t>.</w:t>
      </w:r>
      <w:r w:rsidR="00AB1448">
        <w:t xml:space="preserve"> </w:t>
      </w:r>
      <w:r w:rsidRPr="0074628B">
        <w:t>Acesso em: 2</w:t>
      </w:r>
      <w:r w:rsidR="00AB1448">
        <w:t>2</w:t>
      </w:r>
      <w:r w:rsidRPr="0074628B">
        <w:t xml:space="preserve"> nov. 2024.</w:t>
      </w:r>
    </w:p>
    <w:p w14:paraId="1A912EB9" w14:textId="232D747D" w:rsidR="00000110" w:rsidRDefault="0042715B" w:rsidP="005513A4">
      <w:pPr>
        <w:pStyle w:val="ArtigoFasul"/>
      </w:pPr>
      <w:r w:rsidRPr="0042715B">
        <w:rPr>
          <w:b/>
          <w:bCs/>
        </w:rPr>
        <w:t>BRASIL.</w:t>
      </w:r>
      <w:r w:rsidRPr="0042715B">
        <w:t xml:space="preserve"> Tribunal de Contas da União. </w:t>
      </w:r>
      <w:r w:rsidRPr="0042715B">
        <w:rPr>
          <w:i/>
          <w:iCs/>
        </w:rPr>
        <w:t>Fiscobras: 20 anos</w:t>
      </w:r>
      <w:r w:rsidRPr="0042715B">
        <w:t>. Brasília: TCU, Secretaria-Geral de Controle Externo, 2016</w:t>
      </w:r>
      <w:r>
        <w:t>b</w:t>
      </w:r>
      <w:r w:rsidRPr="0042715B">
        <w:t xml:space="preserve">. 208 p. Disponível em: </w:t>
      </w:r>
      <w:hyperlink r:id="rId28" w:tgtFrame="_new" w:history="1">
        <w:r w:rsidRPr="0042715B">
          <w:rPr>
            <w:rStyle w:val="Hyperlink"/>
          </w:rPr>
          <w:t>https://portal.tcu.gov.br/data/files/38/C7/1B/D0/207929104CE08619E18818A8/Fiscobras%202016%20-%2020%20anos.pdf</w:t>
        </w:r>
      </w:hyperlink>
      <w:r w:rsidRPr="0042715B">
        <w:t>. Acesso em: 21 nov. 2024.</w:t>
      </w:r>
    </w:p>
    <w:p w14:paraId="427BB2E4" w14:textId="5F82CF85" w:rsidR="006E09BB" w:rsidRPr="00EF31A8" w:rsidRDefault="00505070" w:rsidP="005513A4">
      <w:pPr>
        <w:pStyle w:val="ArtigoFasul"/>
      </w:pPr>
      <w:r w:rsidRPr="00CD4046">
        <w:rPr>
          <w:b/>
          <w:bCs/>
        </w:rPr>
        <w:t xml:space="preserve">BRASIL. </w:t>
      </w:r>
      <w:r w:rsidRPr="00CD4046">
        <w:t xml:space="preserve">Tribunal de Contas da União. </w:t>
      </w:r>
      <w:r w:rsidRPr="00CD4046">
        <w:rPr>
          <w:i/>
          <w:iCs/>
        </w:rPr>
        <w:t xml:space="preserve">Acórdão </w:t>
      </w:r>
      <w:r>
        <w:rPr>
          <w:i/>
          <w:iCs/>
        </w:rPr>
        <w:t>979</w:t>
      </w:r>
      <w:r w:rsidRPr="00CD4046">
        <w:rPr>
          <w:i/>
          <w:iCs/>
        </w:rPr>
        <w:t>/2017</w:t>
      </w:r>
      <w:r w:rsidRPr="00CD4046">
        <w:t>. Plenário</w:t>
      </w:r>
      <w:r>
        <w:t xml:space="preserve">. Rel. Min. </w:t>
      </w:r>
      <w:proofErr w:type="spellStart"/>
      <w:r>
        <w:t>Weder</w:t>
      </w:r>
      <w:proofErr w:type="spellEnd"/>
      <w:r>
        <w:t xml:space="preserve"> de Oliveira</w:t>
      </w:r>
      <w:r>
        <w:t xml:space="preserve">. Ata </w:t>
      </w:r>
      <w:r>
        <w:t>17</w:t>
      </w:r>
      <w:r>
        <w:t xml:space="preserve">/2017-Plenário. Sessão de </w:t>
      </w:r>
      <w:r>
        <w:t>17</w:t>
      </w:r>
      <w:r>
        <w:t>/0</w:t>
      </w:r>
      <w:r>
        <w:t>5</w:t>
      </w:r>
      <w:r>
        <w:t>/2017</w:t>
      </w:r>
      <w:r w:rsidRPr="00CD4046">
        <w:t>.</w:t>
      </w:r>
      <w:r>
        <w:t xml:space="preserve"> Brasília,</w:t>
      </w:r>
      <w:r w:rsidRPr="00CD4046">
        <w:t xml:space="preserve"> 2017</w:t>
      </w:r>
      <w:r>
        <w:t>a</w:t>
      </w:r>
      <w:r w:rsidRPr="00CD4046">
        <w:t xml:space="preserve">. Disponível em: </w:t>
      </w:r>
      <w:hyperlink r:id="rId29" w:history="1">
        <w:r w:rsidR="00EF31A8" w:rsidRPr="000C654C">
          <w:rPr>
            <w:rStyle w:val="Hyperlink"/>
          </w:rPr>
          <w:t>https://pesquisa.apps.tcu.gov.br/redireciona/acordao-completo/ACORDAO-COMPLETO-2259004</w:t>
        </w:r>
      </w:hyperlink>
      <w:r w:rsidRPr="00CD4046">
        <w:t xml:space="preserve">. Acesso em: </w:t>
      </w:r>
      <w:r w:rsidR="00EF31A8">
        <w:t>7 dez.</w:t>
      </w:r>
      <w:r w:rsidRPr="00CD4046">
        <w:t xml:space="preserve"> 2024.</w:t>
      </w:r>
    </w:p>
    <w:p w14:paraId="5A29B9F0" w14:textId="7286BDE2" w:rsidR="005A376E" w:rsidRDefault="00CD4046" w:rsidP="005513A4">
      <w:pPr>
        <w:pStyle w:val="ArtigoFasul"/>
      </w:pPr>
      <w:r w:rsidRPr="00CD4046">
        <w:rPr>
          <w:b/>
          <w:bCs/>
        </w:rPr>
        <w:t xml:space="preserve">BRASIL. </w:t>
      </w:r>
      <w:r w:rsidRPr="00CD4046">
        <w:t xml:space="preserve">Tribunal de Contas da União. </w:t>
      </w:r>
      <w:r w:rsidRPr="00CD4046">
        <w:rPr>
          <w:i/>
          <w:iCs/>
        </w:rPr>
        <w:t>Acórdão 1.876/2017</w:t>
      </w:r>
      <w:r w:rsidRPr="00CD4046">
        <w:t>. Plenário</w:t>
      </w:r>
      <w:r>
        <w:t>. Rel. Min. José Múcio Monteiro. Ata 34/2017-Plenário. Sessão de 30/08/2017</w:t>
      </w:r>
      <w:r w:rsidRPr="00CD4046">
        <w:t>.</w:t>
      </w:r>
      <w:r>
        <w:t xml:space="preserve"> Brasília,</w:t>
      </w:r>
      <w:r w:rsidRPr="00CD4046">
        <w:t xml:space="preserve"> 2017</w:t>
      </w:r>
      <w:r w:rsidR="00EF31A8">
        <w:t>b</w:t>
      </w:r>
      <w:r w:rsidRPr="00CD4046">
        <w:t xml:space="preserve">. Disponível em: </w:t>
      </w:r>
      <w:hyperlink r:id="rId30" w:tgtFrame="_new" w:history="1">
        <w:r w:rsidRPr="00CD4046">
          <w:rPr>
            <w:rStyle w:val="Hyperlink"/>
          </w:rPr>
          <w:t>https://pesquisa.apps.tcu.gov.br/redireciona/acordao-completo/ACORDAO-COMPLETO-2178964</w:t>
        </w:r>
      </w:hyperlink>
      <w:r w:rsidRPr="00CD4046">
        <w:t>. Acesso em: 22 nov. 2024.</w:t>
      </w:r>
    </w:p>
    <w:p w14:paraId="4B78A635" w14:textId="689E393A" w:rsidR="00AE0EEF" w:rsidRPr="0094652B" w:rsidRDefault="00EF31A8" w:rsidP="005513A4">
      <w:pPr>
        <w:pStyle w:val="ArtigoFasul"/>
      </w:pPr>
      <w:r w:rsidRPr="00CD4046">
        <w:rPr>
          <w:b/>
          <w:bCs/>
        </w:rPr>
        <w:t xml:space="preserve">BRASIL. </w:t>
      </w:r>
      <w:r w:rsidRPr="00CD4046">
        <w:t xml:space="preserve">Tribunal de Contas da União. </w:t>
      </w:r>
      <w:r w:rsidRPr="00CD4046">
        <w:rPr>
          <w:i/>
          <w:iCs/>
        </w:rPr>
        <w:t xml:space="preserve">Acórdão </w:t>
      </w:r>
      <w:r>
        <w:rPr>
          <w:i/>
          <w:iCs/>
        </w:rPr>
        <w:t>2.290</w:t>
      </w:r>
      <w:r w:rsidRPr="00CD4046">
        <w:rPr>
          <w:i/>
          <w:iCs/>
        </w:rPr>
        <w:t>/2017</w:t>
      </w:r>
      <w:r w:rsidRPr="00CD4046">
        <w:t>. Plenário</w:t>
      </w:r>
      <w:r>
        <w:t xml:space="preserve">. Rel. Min. </w:t>
      </w:r>
      <w:r>
        <w:t>Ana Arraes</w:t>
      </w:r>
      <w:r>
        <w:t xml:space="preserve">. Ata </w:t>
      </w:r>
      <w:r>
        <w:t>41</w:t>
      </w:r>
      <w:r>
        <w:t xml:space="preserve">/2017-Plenário. Sessão de </w:t>
      </w:r>
      <w:r>
        <w:t>11</w:t>
      </w:r>
      <w:r>
        <w:t>/</w:t>
      </w:r>
      <w:r>
        <w:t>10</w:t>
      </w:r>
      <w:r>
        <w:t>/2017</w:t>
      </w:r>
      <w:r w:rsidRPr="00CD4046">
        <w:t>.</w:t>
      </w:r>
      <w:r>
        <w:t xml:space="preserve"> Brasília,</w:t>
      </w:r>
      <w:r w:rsidRPr="00CD4046">
        <w:t xml:space="preserve"> 2017</w:t>
      </w:r>
      <w:r>
        <w:t>c</w:t>
      </w:r>
      <w:r w:rsidRPr="00CD4046">
        <w:t xml:space="preserve">. Disponível em: </w:t>
      </w:r>
      <w:hyperlink r:id="rId31" w:history="1">
        <w:r w:rsidR="00392610" w:rsidRPr="000C654C">
          <w:rPr>
            <w:rStyle w:val="Hyperlink"/>
          </w:rPr>
          <w:t>https://pesquisa.apps.tcu.gov.br/redireciona/acordao-completo/ACORDAO-COMPLETO-2259266</w:t>
        </w:r>
      </w:hyperlink>
      <w:r w:rsidRPr="00CD4046">
        <w:t xml:space="preserve">. Acesso em: </w:t>
      </w:r>
      <w:r w:rsidR="00392610">
        <w:t>7</w:t>
      </w:r>
      <w:r w:rsidRPr="00CD4046">
        <w:t xml:space="preserve"> </w:t>
      </w:r>
      <w:r w:rsidR="00392610">
        <w:t>dez</w:t>
      </w:r>
      <w:r w:rsidRPr="00CD4046">
        <w:t>. 2024.</w:t>
      </w:r>
    </w:p>
    <w:p w14:paraId="3423C347" w14:textId="6DC2B31F" w:rsidR="000D6C93" w:rsidRDefault="00865F2C" w:rsidP="00983A90">
      <w:pPr>
        <w:pStyle w:val="ArtigoFasul"/>
      </w:pPr>
      <w:r w:rsidRPr="00865F2C">
        <w:rPr>
          <w:b/>
          <w:bCs/>
        </w:rPr>
        <w:t>CREMONINI, Ruy Alberto</w:t>
      </w:r>
      <w:r w:rsidRPr="00865F2C">
        <w:t xml:space="preserve">. </w:t>
      </w:r>
      <w:r w:rsidRPr="00865F2C">
        <w:rPr>
          <w:i/>
          <w:iCs/>
        </w:rPr>
        <w:t>Incidência de manifestações patológicas em unidades escolares na região de Porto Alegre – recomendações para projeto, execução e manutenção</w:t>
      </w:r>
      <w:r w:rsidRPr="00865F2C">
        <w:t xml:space="preserve">. Dissertação (Mestrado em Engenharia Civil) – Universidade Federal do Rio Grande do Sul, Porto Alegre, 1988. Disponível em: </w:t>
      </w:r>
      <w:hyperlink r:id="rId32" w:tgtFrame="_new" w:history="1">
        <w:r w:rsidRPr="00865F2C">
          <w:rPr>
            <w:rStyle w:val="Hyperlink"/>
          </w:rPr>
          <w:t>https://lume.ufrgs.br/bitstream/handle/10183/1420/000124337.pdf?sequence=1&amp;isAllowed=y</w:t>
        </w:r>
      </w:hyperlink>
      <w:r w:rsidRPr="00865F2C">
        <w:t>. Acesso em: 21 nov. 2024.</w:t>
      </w:r>
    </w:p>
    <w:p w14:paraId="36FBA24B" w14:textId="17A3C806" w:rsidR="00006E32" w:rsidRDefault="00AF5E85" w:rsidP="00983A90">
      <w:pPr>
        <w:pStyle w:val="ArtigoFasul"/>
      </w:pPr>
      <w:r w:rsidRPr="00AF5E85">
        <w:rPr>
          <w:b/>
          <w:bCs/>
        </w:rPr>
        <w:t>DEPARTAMENTO NACIONAL DE ESTRADAS DE RODAGEM – DNER</w:t>
      </w:r>
      <w:r w:rsidRPr="00AF5E85">
        <w:t xml:space="preserve">. </w:t>
      </w:r>
      <w:r w:rsidRPr="00AF5E85">
        <w:rPr>
          <w:i/>
          <w:iCs/>
        </w:rPr>
        <w:t>DNER-ES 169/86: Controle de qualidade de levantamento da condição de superfície de pavimentos flexíveis ou semi-rígidos para gerência de pavimentos a nível de rede</w:t>
      </w:r>
      <w:r w:rsidRPr="00AF5E85">
        <w:t xml:space="preserve">. </w:t>
      </w:r>
      <w:r w:rsidRPr="00AF5E85">
        <w:lastRenderedPageBreak/>
        <w:t xml:space="preserve">Brasília, 1986. Disponível em: </w:t>
      </w:r>
      <w:hyperlink r:id="rId33" w:tgtFrame="_new" w:history="1">
        <w:r w:rsidRPr="00AF5E85">
          <w:rPr>
            <w:rStyle w:val="Hyperlink"/>
          </w:rPr>
          <w:t>https://www.gov.br/dnit/pt-br/assuntos/planejamento-e-pesquisa/ipr/coletanea-de-normas/coletanea-de-normas/especificacao-de-servico-es/dner_es_169_86-1.pdf</w:t>
        </w:r>
      </w:hyperlink>
      <w:r w:rsidRPr="00AF5E85">
        <w:t>. Acesso em: 2</w:t>
      </w:r>
      <w:r w:rsidR="00CD4046">
        <w:t>/</w:t>
      </w:r>
      <w:r w:rsidRPr="00AF5E85">
        <w:t>1 nov. 2024.</w:t>
      </w:r>
    </w:p>
    <w:p w14:paraId="2803B73D" w14:textId="429FFF34" w:rsidR="00FE4575" w:rsidRDefault="00FE4575" w:rsidP="00983A90">
      <w:pPr>
        <w:pStyle w:val="ArtigoFasul"/>
      </w:pPr>
      <w:r w:rsidRPr="00C51274">
        <w:rPr>
          <w:b/>
          <w:bCs/>
        </w:rPr>
        <w:t>DEPARTAMENTO NACIONAL DE INFRAESTRUTURA DE TRANSPORTES – DNIT</w:t>
      </w:r>
      <w:r w:rsidRPr="00C51274">
        <w:t>.</w:t>
      </w:r>
      <w:r w:rsidRPr="00C51274">
        <w:rPr>
          <w:b/>
          <w:bCs/>
        </w:rPr>
        <w:t xml:space="preserve"> </w:t>
      </w:r>
      <w:r w:rsidR="006565BF">
        <w:rPr>
          <w:i/>
          <w:iCs/>
        </w:rPr>
        <w:t>Norma DNIT 005/2003-TE</w:t>
      </w:r>
      <w:r w:rsidR="003A5B0A">
        <w:rPr>
          <w:i/>
          <w:iCs/>
        </w:rPr>
        <w:t xml:space="preserve">R: Defeitos nos pavimentos flexíveis e </w:t>
      </w:r>
      <w:proofErr w:type="spellStart"/>
      <w:proofErr w:type="gramStart"/>
      <w:r w:rsidR="003A5B0A">
        <w:rPr>
          <w:i/>
          <w:iCs/>
        </w:rPr>
        <w:t>semi-rígidos</w:t>
      </w:r>
      <w:proofErr w:type="spellEnd"/>
      <w:proofErr w:type="gramEnd"/>
      <w:r w:rsidR="003A5B0A">
        <w:rPr>
          <w:i/>
          <w:iCs/>
        </w:rPr>
        <w:t xml:space="preserve"> - Terminologia</w:t>
      </w:r>
      <w:r w:rsidRPr="00C51274">
        <w:t xml:space="preserve">. </w:t>
      </w:r>
      <w:r>
        <w:t>Rio de Janeiro</w:t>
      </w:r>
      <w:r w:rsidRPr="00C51274">
        <w:t>, 20</w:t>
      </w:r>
      <w:r>
        <w:t>0</w:t>
      </w:r>
      <w:r w:rsidR="003A5B0A">
        <w:t>3</w:t>
      </w:r>
      <w:r w:rsidRPr="00C51274">
        <w:t xml:space="preserve">. Disponível em: </w:t>
      </w:r>
      <w:hyperlink r:id="rId34" w:history="1">
        <w:r w:rsidR="00B30464" w:rsidRPr="000C654C">
          <w:rPr>
            <w:rStyle w:val="Hyperlink"/>
          </w:rPr>
          <w:t>https://www.gov.br/dnit/pt-br/assuntos/planejamento-e-pesquisa/ipr/coletanea-de-normas/coletanea-de-normas/terminologia-ter/dnit_005_2003_ter-1.pdf</w:t>
        </w:r>
      </w:hyperlink>
      <w:r w:rsidRPr="00C51274">
        <w:t xml:space="preserve">. Acesso em: </w:t>
      </w:r>
      <w:r w:rsidR="00B30464">
        <w:t>7</w:t>
      </w:r>
      <w:r w:rsidRPr="00C51274">
        <w:t xml:space="preserve"> </w:t>
      </w:r>
      <w:r w:rsidR="00B30464">
        <w:t>dez</w:t>
      </w:r>
      <w:r w:rsidRPr="00C51274">
        <w:t>. 2024.</w:t>
      </w:r>
    </w:p>
    <w:p w14:paraId="7F9D3522" w14:textId="73CE109A" w:rsidR="00C75CFC" w:rsidRDefault="00C75CFC" w:rsidP="00983A90">
      <w:pPr>
        <w:pStyle w:val="ArtigoFasul"/>
      </w:pPr>
      <w:r w:rsidRPr="00C51274">
        <w:rPr>
          <w:b/>
          <w:bCs/>
        </w:rPr>
        <w:t>DEPARTAMENTO NACIONAL DE INFRAESTRUTURA DE TRANSPORTES – DNIT</w:t>
      </w:r>
      <w:r w:rsidRPr="00C51274">
        <w:t>.</w:t>
      </w:r>
      <w:r w:rsidRPr="00C51274">
        <w:rPr>
          <w:b/>
          <w:bCs/>
        </w:rPr>
        <w:t xml:space="preserve"> </w:t>
      </w:r>
      <w:r w:rsidRPr="00C51274">
        <w:rPr>
          <w:i/>
          <w:iCs/>
        </w:rPr>
        <w:t>Manual de Restauração de Pavimentos Asfálticos</w:t>
      </w:r>
      <w:r w:rsidRPr="00C51274">
        <w:t xml:space="preserve">. </w:t>
      </w:r>
      <w:r>
        <w:t>Rio de Janeiro</w:t>
      </w:r>
      <w:r w:rsidRPr="00C51274">
        <w:t>, 20</w:t>
      </w:r>
      <w:r>
        <w:t>06</w:t>
      </w:r>
      <w:r w:rsidRPr="00C51274">
        <w:t xml:space="preserve">. Disponível em: </w:t>
      </w:r>
      <w:hyperlink r:id="rId35" w:tgtFrame="_new" w:history="1">
        <w:r w:rsidRPr="00C51274">
          <w:rPr>
            <w:rStyle w:val="Hyperlink"/>
          </w:rPr>
          <w:t>https://www.gov.br/dnit/pt-br/assuntos/planejamento-e-pesquisa/ipr/coletanea-de-manuais/vigentes/720_manual_restauracao_pavimentos_afalticos.pdf</w:t>
        </w:r>
      </w:hyperlink>
      <w:r w:rsidRPr="00C51274">
        <w:t>. Acesso em: 21 nov. 2024.</w:t>
      </w:r>
    </w:p>
    <w:p w14:paraId="14D860D3" w14:textId="4D002BA1" w:rsidR="00B80E71" w:rsidRDefault="00006E32" w:rsidP="000E641A">
      <w:pPr>
        <w:pStyle w:val="ArtigoFasul"/>
      </w:pPr>
      <w:r w:rsidRPr="00006E32">
        <w:rPr>
          <w:b/>
          <w:bCs/>
        </w:rPr>
        <w:t>DEPARTAMENTO NACIONAL DE INFRAESTRUTURA DE TRANSPORTES – DNIT</w:t>
      </w:r>
      <w:r w:rsidRPr="00006E32">
        <w:t xml:space="preserve">. </w:t>
      </w:r>
      <w:r w:rsidRPr="00006E32">
        <w:rPr>
          <w:i/>
          <w:iCs/>
        </w:rPr>
        <w:t>DNIT 433/2021-PRO: Pavimentação – Levantamento do percentual de área trincada e de afundamento de trilha de roda de pavimento asfáltico em trechos experimentais, monitorados ou trechos homogêneos de curta extensão – Procedimento</w:t>
      </w:r>
      <w:r w:rsidRPr="00006E32">
        <w:t xml:space="preserve">. Brasília, 2021. Disponível em: </w:t>
      </w:r>
      <w:hyperlink r:id="rId36" w:tgtFrame="_new" w:history="1">
        <w:r w:rsidRPr="00006E32">
          <w:rPr>
            <w:rStyle w:val="Hyperlink"/>
          </w:rPr>
          <w:t>https://www.gov.br/dnit/pt-br/assuntos/planejamento-e-pesquisa/ipr/coletanea-de-normas/coletanea-de-normas/procedimento-pro/dnit_433_2021_pro.pdf</w:t>
        </w:r>
      </w:hyperlink>
      <w:r w:rsidRPr="00006E32">
        <w:t>. Acesso em: 21 nov. 2024.</w:t>
      </w:r>
    </w:p>
    <w:p w14:paraId="0C953749" w14:textId="12C5E1BB" w:rsidR="003F5C8C" w:rsidRPr="00D75B70" w:rsidRDefault="003F5C8C" w:rsidP="000E641A">
      <w:pPr>
        <w:pStyle w:val="ArtigoFasul"/>
        <w:rPr>
          <w:b/>
          <w:bCs/>
        </w:rPr>
      </w:pPr>
      <w:r>
        <w:t>WEIMER, Bianca Funk</w:t>
      </w:r>
      <w:r w:rsidR="00D75B70">
        <w:t xml:space="preserve">; THOMAS, Maurício; DRESCH, Fernanda. </w:t>
      </w:r>
      <w:r w:rsidR="00D75B70" w:rsidRPr="00F00EA0">
        <w:rPr>
          <w:b/>
          <w:bCs/>
        </w:rPr>
        <w:t>Patologia das estruturas</w:t>
      </w:r>
      <w:r w:rsidR="00D75B70">
        <w:t>.</w:t>
      </w:r>
      <w:r w:rsidR="00BF7513">
        <w:t xml:space="preserve"> Porto Alegre, SAGAH, 2018, 199 p.</w:t>
      </w:r>
    </w:p>
    <w:sectPr w:rsidR="003F5C8C" w:rsidRPr="00D75B70" w:rsidSect="00FB219C">
      <w:footerReference w:type="default" r:id="rId3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6152BB" w14:textId="77777777" w:rsidR="00D366B0" w:rsidRDefault="00D366B0" w:rsidP="00773DC1">
      <w:pPr>
        <w:spacing w:after="0" w:line="240" w:lineRule="auto"/>
      </w:pPr>
      <w:r>
        <w:separator/>
      </w:r>
    </w:p>
  </w:endnote>
  <w:endnote w:type="continuationSeparator" w:id="0">
    <w:p w14:paraId="77CB0C27" w14:textId="77777777" w:rsidR="00D366B0" w:rsidRDefault="00D366B0" w:rsidP="00773DC1">
      <w:pPr>
        <w:spacing w:after="0" w:line="240" w:lineRule="auto"/>
      </w:pPr>
      <w:r>
        <w:continuationSeparator/>
      </w:r>
    </w:p>
  </w:endnote>
  <w:endnote w:type="continuationNotice" w:id="1">
    <w:p w14:paraId="25F021FC" w14:textId="77777777" w:rsidR="00D366B0" w:rsidRDefault="00D366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5024480"/>
      <w:docPartObj>
        <w:docPartGallery w:val="Page Numbers (Bottom of Page)"/>
        <w:docPartUnique/>
      </w:docPartObj>
    </w:sdtPr>
    <w:sdtEndPr>
      <w:rPr>
        <w:rFonts w:ascii="Arial" w:hAnsi="Arial" w:cs="Arial"/>
      </w:rPr>
    </w:sdtEndPr>
    <w:sdtContent>
      <w:p w14:paraId="0BF5B932" w14:textId="43CEC410" w:rsidR="00773DC1" w:rsidRPr="00773DC1" w:rsidRDefault="00773DC1">
        <w:pPr>
          <w:pStyle w:val="Rodap"/>
          <w:jc w:val="right"/>
          <w:rPr>
            <w:rFonts w:ascii="Arial" w:hAnsi="Arial" w:cs="Arial"/>
          </w:rPr>
        </w:pPr>
        <w:r w:rsidRPr="00773DC1">
          <w:rPr>
            <w:rFonts w:ascii="Arial" w:hAnsi="Arial" w:cs="Arial"/>
          </w:rPr>
          <w:fldChar w:fldCharType="begin"/>
        </w:r>
        <w:r w:rsidRPr="00773DC1">
          <w:rPr>
            <w:rFonts w:ascii="Arial" w:hAnsi="Arial" w:cs="Arial"/>
          </w:rPr>
          <w:instrText>PAGE   \* MERGEFORMAT</w:instrText>
        </w:r>
        <w:r w:rsidRPr="00773DC1">
          <w:rPr>
            <w:rFonts w:ascii="Arial" w:hAnsi="Arial" w:cs="Arial"/>
          </w:rPr>
          <w:fldChar w:fldCharType="separate"/>
        </w:r>
        <w:r w:rsidRPr="00773DC1">
          <w:rPr>
            <w:rFonts w:ascii="Arial" w:hAnsi="Arial" w:cs="Arial"/>
          </w:rPr>
          <w:t>2</w:t>
        </w:r>
        <w:r w:rsidRPr="00773DC1">
          <w:rPr>
            <w:rFonts w:ascii="Arial" w:hAnsi="Arial" w:cs="Arial"/>
          </w:rPr>
          <w:fldChar w:fldCharType="end"/>
        </w:r>
      </w:p>
    </w:sdtContent>
  </w:sdt>
  <w:p w14:paraId="776D5D9C" w14:textId="77777777" w:rsidR="00773DC1" w:rsidRDefault="00773DC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16320B" w14:textId="77777777" w:rsidR="00D366B0" w:rsidRDefault="00D366B0" w:rsidP="00773DC1">
      <w:pPr>
        <w:spacing w:after="0" w:line="240" w:lineRule="auto"/>
      </w:pPr>
      <w:r>
        <w:separator/>
      </w:r>
    </w:p>
  </w:footnote>
  <w:footnote w:type="continuationSeparator" w:id="0">
    <w:p w14:paraId="4C2119BE" w14:textId="77777777" w:rsidR="00D366B0" w:rsidRDefault="00D366B0" w:rsidP="00773DC1">
      <w:pPr>
        <w:spacing w:after="0" w:line="240" w:lineRule="auto"/>
      </w:pPr>
      <w:r>
        <w:continuationSeparator/>
      </w:r>
    </w:p>
  </w:footnote>
  <w:footnote w:type="continuationNotice" w:id="1">
    <w:p w14:paraId="7A01C19B" w14:textId="77777777" w:rsidR="00D366B0" w:rsidRDefault="00D366B0">
      <w:pPr>
        <w:spacing w:after="0" w:line="240" w:lineRule="auto"/>
      </w:pPr>
    </w:p>
  </w:footnote>
  <w:footnote w:id="2">
    <w:p w14:paraId="386C741C" w14:textId="5785B1A4" w:rsidR="001A1C0D" w:rsidRPr="001A1C0D" w:rsidRDefault="001A1C0D" w:rsidP="001A1C0D">
      <w:pPr>
        <w:pStyle w:val="Textodenotaderodap"/>
        <w:jc w:val="both"/>
        <w:rPr>
          <w:rFonts w:ascii="Arial" w:hAnsi="Arial" w:cs="Arial"/>
        </w:rPr>
      </w:pPr>
      <w:r w:rsidRPr="001A1C0D">
        <w:rPr>
          <w:rStyle w:val="Refdenotaderodap"/>
          <w:rFonts w:ascii="Arial" w:hAnsi="Arial" w:cs="Arial"/>
        </w:rPr>
        <w:footnoteRef/>
      </w:r>
      <w:r w:rsidRPr="001A1C0D">
        <w:rPr>
          <w:rFonts w:ascii="Arial" w:hAnsi="Arial" w:cs="Arial"/>
        </w:rPr>
        <w:t xml:space="preserve"> Engenheiro Civil</w:t>
      </w:r>
      <w:r>
        <w:rPr>
          <w:rFonts w:ascii="Arial" w:hAnsi="Arial" w:cs="Arial"/>
        </w:rPr>
        <w:t xml:space="preserve"> pela Universidade de Brasília - UnB, Especialista em Governança e Controle da Regulação em Infraestrutura pela Escola Nacional de Administração Pública (Enap) </w:t>
      </w:r>
      <w:r w:rsidR="000626C4">
        <w:rPr>
          <w:rFonts w:ascii="Arial" w:hAnsi="Arial" w:cs="Arial"/>
        </w:rPr>
        <w:t>e pelo Instituto Serzedello Corrêa – ISC/TCU</w:t>
      </w:r>
      <w:r w:rsidR="00254F6E">
        <w:rPr>
          <w:rFonts w:ascii="Arial" w:hAnsi="Arial" w:cs="Arial"/>
        </w:rPr>
        <w:t xml:space="preserve">, </w:t>
      </w:r>
      <w:r w:rsidR="00215C71">
        <w:rPr>
          <w:rFonts w:ascii="Arial" w:hAnsi="Arial" w:cs="Arial"/>
        </w:rPr>
        <w:t xml:space="preserve">Especialista em </w:t>
      </w:r>
      <w:r w:rsidR="008D632B">
        <w:rPr>
          <w:rFonts w:ascii="Arial" w:hAnsi="Arial" w:cs="Arial"/>
        </w:rPr>
        <w:t xml:space="preserve">Contabilidade, Auditoria e Controladoria pela </w:t>
      </w:r>
      <w:r w:rsidR="0097685B">
        <w:rPr>
          <w:rFonts w:ascii="Arial" w:hAnsi="Arial" w:cs="Arial"/>
        </w:rPr>
        <w:t>Fasul Educacional</w:t>
      </w:r>
      <w:r w:rsidR="000626C4">
        <w:rPr>
          <w:rFonts w:ascii="Arial" w:hAnsi="Arial" w:cs="Arial"/>
        </w:rPr>
        <w:t>.</w:t>
      </w:r>
    </w:p>
  </w:footnote>
  <w:footnote w:id="3">
    <w:p w14:paraId="2AC704F0" w14:textId="20B6C7BD" w:rsidR="00773289" w:rsidRDefault="00773289">
      <w:pPr>
        <w:pStyle w:val="Textodenotaderodap"/>
      </w:pPr>
      <w:r>
        <w:rPr>
          <w:rStyle w:val="Refdenotaderodap"/>
        </w:rPr>
        <w:footnoteRef/>
      </w:r>
      <w:r>
        <w:t xml:space="preserve"> </w:t>
      </w:r>
      <w:r w:rsidRPr="007C3195">
        <w:rPr>
          <w:rFonts w:ascii="Arial" w:hAnsi="Arial" w:cs="Arial"/>
        </w:rPr>
        <w:t>Disponível em:</w:t>
      </w:r>
      <w:r w:rsidR="005076C6">
        <w:t xml:space="preserve"> </w:t>
      </w:r>
      <w:hyperlink r:id="rId1" w:anchor="/pesquisa/integrada" w:history="1">
        <w:r w:rsidR="005076C6" w:rsidRPr="005076C6">
          <w:rPr>
            <w:rStyle w:val="Hyperlink"/>
            <w:rFonts w:ascii="Arial" w:hAnsi="Arial" w:cs="Arial"/>
          </w:rPr>
          <w:t>https://pesquisa.apps.tcu.gov.br/#/pesquisa/integrada</w:t>
        </w:r>
      </w:hyperlink>
      <w:r w:rsidR="005076C6" w:rsidRPr="005076C6">
        <w:rPr>
          <w:rStyle w:val="Hyperlink"/>
          <w:rFonts w:ascii="Arial" w:hAnsi="Arial" w:cs="Arial"/>
        </w:rPr>
        <w:t>,</w:t>
      </w:r>
      <w:r w:rsidR="005076C6">
        <w:t xml:space="preserve"> </w:t>
      </w:r>
      <w:r w:rsidR="005076C6" w:rsidRPr="005076C6">
        <w:rPr>
          <w:rFonts w:ascii="Arial" w:hAnsi="Arial" w:cs="Arial"/>
        </w:rPr>
        <w:t>acesso em 18 nov. 2024</w:t>
      </w:r>
      <w:r w:rsidR="005076C6">
        <w:t>.</w:t>
      </w:r>
    </w:p>
  </w:footnote>
  <w:footnote w:id="4">
    <w:p w14:paraId="1694D1AA" w14:textId="7A077A6C" w:rsidR="007C3195" w:rsidRPr="007C3195" w:rsidRDefault="007C3195">
      <w:pPr>
        <w:pStyle w:val="Textodenotaderodap"/>
        <w:rPr>
          <w:rFonts w:ascii="Arial" w:hAnsi="Arial" w:cs="Arial"/>
        </w:rPr>
      </w:pPr>
      <w:r w:rsidRPr="007C3195">
        <w:rPr>
          <w:rStyle w:val="Refdenotaderodap"/>
          <w:rFonts w:ascii="Arial" w:hAnsi="Arial" w:cs="Arial"/>
        </w:rPr>
        <w:footnoteRef/>
      </w:r>
      <w:r w:rsidRPr="007C3195">
        <w:rPr>
          <w:rFonts w:ascii="Arial" w:hAnsi="Arial" w:cs="Arial"/>
        </w:rPr>
        <w:t xml:space="preserve">  Disponível em: &lt;</w:t>
      </w:r>
      <w:hyperlink r:id="rId2" w:history="1">
        <w:r w:rsidRPr="007C3195">
          <w:rPr>
            <w:rStyle w:val="Hyperlink"/>
            <w:rFonts w:ascii="Arial" w:hAnsi="Arial" w:cs="Arial"/>
          </w:rPr>
          <w:t>https://pesquisa.apps.tcu.gov.br/pesquisa/integrada</w:t>
        </w:r>
      </w:hyperlink>
      <w:r w:rsidRPr="007C3195">
        <w:rPr>
          <w:rFonts w:ascii="Arial" w:hAnsi="Arial" w:cs="Arial"/>
        </w:rPr>
        <w:t>&gt;, acesso em 1</w:t>
      </w:r>
      <w:r w:rsidR="00E07679">
        <w:rPr>
          <w:rFonts w:ascii="Arial" w:hAnsi="Arial" w:cs="Arial"/>
        </w:rPr>
        <w:t>8</w:t>
      </w:r>
      <w:r w:rsidRPr="007C3195">
        <w:rPr>
          <w:rFonts w:ascii="Arial" w:hAnsi="Arial" w:cs="Arial"/>
        </w:rPr>
        <w:t xml:space="preserve"> </w:t>
      </w:r>
      <w:r w:rsidR="00E07679">
        <w:rPr>
          <w:rFonts w:ascii="Arial" w:hAnsi="Arial" w:cs="Arial"/>
        </w:rPr>
        <w:t>nov</w:t>
      </w:r>
      <w:r w:rsidRPr="007C3195">
        <w:rPr>
          <w:rFonts w:ascii="Arial" w:hAnsi="Arial" w:cs="Arial"/>
        </w:rPr>
        <w: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600FE"/>
    <w:multiLevelType w:val="hybridMultilevel"/>
    <w:tmpl w:val="4244B324"/>
    <w:lvl w:ilvl="0" w:tplc="F1749AF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36285A62"/>
    <w:multiLevelType w:val="hybridMultilevel"/>
    <w:tmpl w:val="E0469AD4"/>
    <w:lvl w:ilvl="0" w:tplc="2DDEF8F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 w15:restartNumberingAfterBreak="0">
    <w:nsid w:val="3AA33FF0"/>
    <w:multiLevelType w:val="hybridMultilevel"/>
    <w:tmpl w:val="5E86B126"/>
    <w:lvl w:ilvl="0" w:tplc="FFFFFFFF">
      <w:start w:val="1"/>
      <w:numFmt w:val="lowerLetter"/>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3BB3006C"/>
    <w:multiLevelType w:val="hybridMultilevel"/>
    <w:tmpl w:val="86DC4C66"/>
    <w:lvl w:ilvl="0" w:tplc="FF2E1E8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45EE70A2"/>
    <w:multiLevelType w:val="hybridMultilevel"/>
    <w:tmpl w:val="7A12622A"/>
    <w:lvl w:ilvl="0" w:tplc="86D2CA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15:restartNumberingAfterBreak="0">
    <w:nsid w:val="62E65108"/>
    <w:multiLevelType w:val="hybridMultilevel"/>
    <w:tmpl w:val="5E86B126"/>
    <w:lvl w:ilvl="0" w:tplc="E02A6AA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7A7D4D5E"/>
    <w:multiLevelType w:val="multilevel"/>
    <w:tmpl w:val="F4FAB3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246455879">
    <w:abstractNumId w:val="6"/>
  </w:num>
  <w:num w:numId="2" w16cid:durableId="1208764949">
    <w:abstractNumId w:val="4"/>
  </w:num>
  <w:num w:numId="3" w16cid:durableId="1905025470">
    <w:abstractNumId w:val="3"/>
  </w:num>
  <w:num w:numId="4" w16cid:durableId="1433430530">
    <w:abstractNumId w:val="1"/>
  </w:num>
  <w:num w:numId="5" w16cid:durableId="916063124">
    <w:abstractNumId w:val="0"/>
  </w:num>
  <w:num w:numId="6" w16cid:durableId="877855466">
    <w:abstractNumId w:val="5"/>
  </w:num>
  <w:num w:numId="7" w16cid:durableId="492332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19C"/>
    <w:rsid w:val="00000110"/>
    <w:rsid w:val="00002BF6"/>
    <w:rsid w:val="000065C6"/>
    <w:rsid w:val="00006E32"/>
    <w:rsid w:val="000070BC"/>
    <w:rsid w:val="000074BF"/>
    <w:rsid w:val="000109A4"/>
    <w:rsid w:val="000116F1"/>
    <w:rsid w:val="00017C1D"/>
    <w:rsid w:val="00031D16"/>
    <w:rsid w:val="00032D52"/>
    <w:rsid w:val="00033952"/>
    <w:rsid w:val="00041557"/>
    <w:rsid w:val="0004599B"/>
    <w:rsid w:val="0005194E"/>
    <w:rsid w:val="000542D1"/>
    <w:rsid w:val="000622C9"/>
    <w:rsid w:val="000626C4"/>
    <w:rsid w:val="00066A85"/>
    <w:rsid w:val="000675FF"/>
    <w:rsid w:val="00073ACC"/>
    <w:rsid w:val="00076A34"/>
    <w:rsid w:val="000803C0"/>
    <w:rsid w:val="00082B0B"/>
    <w:rsid w:val="00082BD7"/>
    <w:rsid w:val="00083B24"/>
    <w:rsid w:val="00083E66"/>
    <w:rsid w:val="00086FCB"/>
    <w:rsid w:val="00086FFB"/>
    <w:rsid w:val="00094377"/>
    <w:rsid w:val="00095A03"/>
    <w:rsid w:val="00097BA0"/>
    <w:rsid w:val="000A15F6"/>
    <w:rsid w:val="000A1C1F"/>
    <w:rsid w:val="000A3259"/>
    <w:rsid w:val="000A5CDB"/>
    <w:rsid w:val="000B1B42"/>
    <w:rsid w:val="000B31AF"/>
    <w:rsid w:val="000B44D4"/>
    <w:rsid w:val="000B5AD5"/>
    <w:rsid w:val="000B5CCE"/>
    <w:rsid w:val="000C21E1"/>
    <w:rsid w:val="000C494E"/>
    <w:rsid w:val="000C4F5F"/>
    <w:rsid w:val="000C687F"/>
    <w:rsid w:val="000D6C93"/>
    <w:rsid w:val="000E641A"/>
    <w:rsid w:val="000F2421"/>
    <w:rsid w:val="000F3017"/>
    <w:rsid w:val="000F5F07"/>
    <w:rsid w:val="0010291A"/>
    <w:rsid w:val="00102AED"/>
    <w:rsid w:val="00104F6F"/>
    <w:rsid w:val="00111E6F"/>
    <w:rsid w:val="00114009"/>
    <w:rsid w:val="00114656"/>
    <w:rsid w:val="0011466B"/>
    <w:rsid w:val="00114D4B"/>
    <w:rsid w:val="0011723A"/>
    <w:rsid w:val="00123D31"/>
    <w:rsid w:val="0013080F"/>
    <w:rsid w:val="00130C5D"/>
    <w:rsid w:val="00132357"/>
    <w:rsid w:val="001378EE"/>
    <w:rsid w:val="00137FFD"/>
    <w:rsid w:val="0014250B"/>
    <w:rsid w:val="00145509"/>
    <w:rsid w:val="00147940"/>
    <w:rsid w:val="001515EB"/>
    <w:rsid w:val="00151658"/>
    <w:rsid w:val="00151B64"/>
    <w:rsid w:val="001520D3"/>
    <w:rsid w:val="00156744"/>
    <w:rsid w:val="001570BF"/>
    <w:rsid w:val="00162E86"/>
    <w:rsid w:val="00176E56"/>
    <w:rsid w:val="00177754"/>
    <w:rsid w:val="00180CE6"/>
    <w:rsid w:val="00181FE0"/>
    <w:rsid w:val="0018451B"/>
    <w:rsid w:val="00190CCC"/>
    <w:rsid w:val="00192E54"/>
    <w:rsid w:val="00194C44"/>
    <w:rsid w:val="001A087A"/>
    <w:rsid w:val="001A1C0D"/>
    <w:rsid w:val="001A1D1D"/>
    <w:rsid w:val="001A5FF9"/>
    <w:rsid w:val="001A74C1"/>
    <w:rsid w:val="001C2D5F"/>
    <w:rsid w:val="001C6C04"/>
    <w:rsid w:val="001D22B0"/>
    <w:rsid w:val="001D3C46"/>
    <w:rsid w:val="001D43C1"/>
    <w:rsid w:val="001D44DC"/>
    <w:rsid w:val="001D527E"/>
    <w:rsid w:val="001E3A27"/>
    <w:rsid w:val="001E3CA2"/>
    <w:rsid w:val="001F131D"/>
    <w:rsid w:val="001F1AEB"/>
    <w:rsid w:val="001F1BCF"/>
    <w:rsid w:val="001F3567"/>
    <w:rsid w:val="001F3807"/>
    <w:rsid w:val="001F3B3E"/>
    <w:rsid w:val="001F7688"/>
    <w:rsid w:val="002022EE"/>
    <w:rsid w:val="002025F8"/>
    <w:rsid w:val="00203CFC"/>
    <w:rsid w:val="00204390"/>
    <w:rsid w:val="00206253"/>
    <w:rsid w:val="0021022D"/>
    <w:rsid w:val="00211118"/>
    <w:rsid w:val="00215C71"/>
    <w:rsid w:val="00215FF2"/>
    <w:rsid w:val="0021675F"/>
    <w:rsid w:val="00217211"/>
    <w:rsid w:val="002172C4"/>
    <w:rsid w:val="002218C7"/>
    <w:rsid w:val="002237AB"/>
    <w:rsid w:val="00226413"/>
    <w:rsid w:val="00230056"/>
    <w:rsid w:val="00232281"/>
    <w:rsid w:val="0023544C"/>
    <w:rsid w:val="00242CCB"/>
    <w:rsid w:val="002471F7"/>
    <w:rsid w:val="00251FC3"/>
    <w:rsid w:val="00252CD2"/>
    <w:rsid w:val="00254D3A"/>
    <w:rsid w:val="00254F6E"/>
    <w:rsid w:val="0025568C"/>
    <w:rsid w:val="00260D33"/>
    <w:rsid w:val="0026241A"/>
    <w:rsid w:val="002624A4"/>
    <w:rsid w:val="0026511E"/>
    <w:rsid w:val="00265D0F"/>
    <w:rsid w:val="00266A8B"/>
    <w:rsid w:val="00267509"/>
    <w:rsid w:val="00277085"/>
    <w:rsid w:val="00283226"/>
    <w:rsid w:val="0028478D"/>
    <w:rsid w:val="00284CDE"/>
    <w:rsid w:val="002A47AA"/>
    <w:rsid w:val="002A74E0"/>
    <w:rsid w:val="002B0D46"/>
    <w:rsid w:val="002B3083"/>
    <w:rsid w:val="002B45E6"/>
    <w:rsid w:val="002C1DC5"/>
    <w:rsid w:val="002C296A"/>
    <w:rsid w:val="002C2BF0"/>
    <w:rsid w:val="002C364F"/>
    <w:rsid w:val="002C6255"/>
    <w:rsid w:val="002D053E"/>
    <w:rsid w:val="002D3FE5"/>
    <w:rsid w:val="002D75FF"/>
    <w:rsid w:val="002E0086"/>
    <w:rsid w:val="002E01B7"/>
    <w:rsid w:val="002E1538"/>
    <w:rsid w:val="002E498D"/>
    <w:rsid w:val="002E706B"/>
    <w:rsid w:val="002F05CA"/>
    <w:rsid w:val="002F0675"/>
    <w:rsid w:val="00300A00"/>
    <w:rsid w:val="00301650"/>
    <w:rsid w:val="003106A3"/>
    <w:rsid w:val="0031227E"/>
    <w:rsid w:val="003125EC"/>
    <w:rsid w:val="00312A31"/>
    <w:rsid w:val="00313D4C"/>
    <w:rsid w:val="00314540"/>
    <w:rsid w:val="00314FB3"/>
    <w:rsid w:val="00315FED"/>
    <w:rsid w:val="003227A0"/>
    <w:rsid w:val="00324076"/>
    <w:rsid w:val="0032591C"/>
    <w:rsid w:val="00330A8A"/>
    <w:rsid w:val="00330F49"/>
    <w:rsid w:val="003317EF"/>
    <w:rsid w:val="0033612E"/>
    <w:rsid w:val="00341EF3"/>
    <w:rsid w:val="0034236F"/>
    <w:rsid w:val="003426C2"/>
    <w:rsid w:val="00342735"/>
    <w:rsid w:val="00345719"/>
    <w:rsid w:val="0035491F"/>
    <w:rsid w:val="003557F6"/>
    <w:rsid w:val="003565A8"/>
    <w:rsid w:val="00361156"/>
    <w:rsid w:val="003637B9"/>
    <w:rsid w:val="00363B66"/>
    <w:rsid w:val="003654EB"/>
    <w:rsid w:val="003671E7"/>
    <w:rsid w:val="00370492"/>
    <w:rsid w:val="00376A77"/>
    <w:rsid w:val="003777F0"/>
    <w:rsid w:val="00384EB6"/>
    <w:rsid w:val="00386833"/>
    <w:rsid w:val="00387D11"/>
    <w:rsid w:val="003920A2"/>
    <w:rsid w:val="00392610"/>
    <w:rsid w:val="003942F3"/>
    <w:rsid w:val="003A46C6"/>
    <w:rsid w:val="003A5B0A"/>
    <w:rsid w:val="003B22A6"/>
    <w:rsid w:val="003B2A70"/>
    <w:rsid w:val="003B4050"/>
    <w:rsid w:val="003C393E"/>
    <w:rsid w:val="003C549B"/>
    <w:rsid w:val="003C6727"/>
    <w:rsid w:val="003C752B"/>
    <w:rsid w:val="003D3213"/>
    <w:rsid w:val="003D4635"/>
    <w:rsid w:val="003D4C15"/>
    <w:rsid w:val="003D7C2B"/>
    <w:rsid w:val="003E2712"/>
    <w:rsid w:val="003E2A60"/>
    <w:rsid w:val="003E4455"/>
    <w:rsid w:val="003F4D96"/>
    <w:rsid w:val="003F5C8C"/>
    <w:rsid w:val="004030BA"/>
    <w:rsid w:val="004117EB"/>
    <w:rsid w:val="00412E8A"/>
    <w:rsid w:val="00414C92"/>
    <w:rsid w:val="00417C79"/>
    <w:rsid w:val="004211BD"/>
    <w:rsid w:val="0042715B"/>
    <w:rsid w:val="00430089"/>
    <w:rsid w:val="00432771"/>
    <w:rsid w:val="00432924"/>
    <w:rsid w:val="00435224"/>
    <w:rsid w:val="004365FD"/>
    <w:rsid w:val="0043746B"/>
    <w:rsid w:val="00444876"/>
    <w:rsid w:val="00445109"/>
    <w:rsid w:val="004455F1"/>
    <w:rsid w:val="00450236"/>
    <w:rsid w:val="0045188C"/>
    <w:rsid w:val="004527DA"/>
    <w:rsid w:val="00454C2E"/>
    <w:rsid w:val="004631DF"/>
    <w:rsid w:val="004645CC"/>
    <w:rsid w:val="004672A4"/>
    <w:rsid w:val="004679E9"/>
    <w:rsid w:val="004809BC"/>
    <w:rsid w:val="00481A07"/>
    <w:rsid w:val="00484149"/>
    <w:rsid w:val="004877FA"/>
    <w:rsid w:val="00494908"/>
    <w:rsid w:val="0049629E"/>
    <w:rsid w:val="004A00E5"/>
    <w:rsid w:val="004A5DEC"/>
    <w:rsid w:val="004A7E55"/>
    <w:rsid w:val="004B1FAE"/>
    <w:rsid w:val="004B4E8C"/>
    <w:rsid w:val="004C0977"/>
    <w:rsid w:val="004C6045"/>
    <w:rsid w:val="004C7C81"/>
    <w:rsid w:val="004D0128"/>
    <w:rsid w:val="004D0CF5"/>
    <w:rsid w:val="004D15C3"/>
    <w:rsid w:val="004D3F33"/>
    <w:rsid w:val="004D4CAF"/>
    <w:rsid w:val="004E7DDA"/>
    <w:rsid w:val="004F0908"/>
    <w:rsid w:val="004F34B0"/>
    <w:rsid w:val="004F59C5"/>
    <w:rsid w:val="004F7BFE"/>
    <w:rsid w:val="00505070"/>
    <w:rsid w:val="00505C3C"/>
    <w:rsid w:val="005064BF"/>
    <w:rsid w:val="005076C6"/>
    <w:rsid w:val="00510763"/>
    <w:rsid w:val="005121F8"/>
    <w:rsid w:val="00520CA8"/>
    <w:rsid w:val="005220A6"/>
    <w:rsid w:val="00523AA0"/>
    <w:rsid w:val="0052535A"/>
    <w:rsid w:val="0053206F"/>
    <w:rsid w:val="00532F52"/>
    <w:rsid w:val="00533584"/>
    <w:rsid w:val="00544AA1"/>
    <w:rsid w:val="00545A12"/>
    <w:rsid w:val="00547D3F"/>
    <w:rsid w:val="005513A4"/>
    <w:rsid w:val="00552BC2"/>
    <w:rsid w:val="00552C37"/>
    <w:rsid w:val="005537A8"/>
    <w:rsid w:val="0055479D"/>
    <w:rsid w:val="005554A3"/>
    <w:rsid w:val="00560AC6"/>
    <w:rsid w:val="00562D9F"/>
    <w:rsid w:val="00562F23"/>
    <w:rsid w:val="00565095"/>
    <w:rsid w:val="00566488"/>
    <w:rsid w:val="00575F91"/>
    <w:rsid w:val="00576FD2"/>
    <w:rsid w:val="00583528"/>
    <w:rsid w:val="005843F6"/>
    <w:rsid w:val="005864C7"/>
    <w:rsid w:val="0059221B"/>
    <w:rsid w:val="00597C2B"/>
    <w:rsid w:val="005A1CED"/>
    <w:rsid w:val="005A2D06"/>
    <w:rsid w:val="005A376E"/>
    <w:rsid w:val="005A4948"/>
    <w:rsid w:val="005A5D21"/>
    <w:rsid w:val="005A69A1"/>
    <w:rsid w:val="005B22D8"/>
    <w:rsid w:val="005B276F"/>
    <w:rsid w:val="005B462C"/>
    <w:rsid w:val="005B48BC"/>
    <w:rsid w:val="005B659F"/>
    <w:rsid w:val="005B72E6"/>
    <w:rsid w:val="005C3544"/>
    <w:rsid w:val="005C362E"/>
    <w:rsid w:val="005C3F6B"/>
    <w:rsid w:val="005D58D2"/>
    <w:rsid w:val="005E044F"/>
    <w:rsid w:val="005E1433"/>
    <w:rsid w:val="005E1D5D"/>
    <w:rsid w:val="005E50D8"/>
    <w:rsid w:val="005E5102"/>
    <w:rsid w:val="005E65D6"/>
    <w:rsid w:val="005E789D"/>
    <w:rsid w:val="005F0D40"/>
    <w:rsid w:val="005F14DE"/>
    <w:rsid w:val="005F3390"/>
    <w:rsid w:val="005F3852"/>
    <w:rsid w:val="005F3D5A"/>
    <w:rsid w:val="005F5EBE"/>
    <w:rsid w:val="006020BF"/>
    <w:rsid w:val="006038A4"/>
    <w:rsid w:val="0060673D"/>
    <w:rsid w:val="006111CB"/>
    <w:rsid w:val="00612A21"/>
    <w:rsid w:val="00612B28"/>
    <w:rsid w:val="00612B5F"/>
    <w:rsid w:val="00613C06"/>
    <w:rsid w:val="00616889"/>
    <w:rsid w:val="00621D28"/>
    <w:rsid w:val="00622F44"/>
    <w:rsid w:val="00633264"/>
    <w:rsid w:val="00633F16"/>
    <w:rsid w:val="00634398"/>
    <w:rsid w:val="00641438"/>
    <w:rsid w:val="0064273B"/>
    <w:rsid w:val="00645053"/>
    <w:rsid w:val="0065031A"/>
    <w:rsid w:val="00651E29"/>
    <w:rsid w:val="00652E3A"/>
    <w:rsid w:val="006565BF"/>
    <w:rsid w:val="006573A6"/>
    <w:rsid w:val="00664EAC"/>
    <w:rsid w:val="00666B1B"/>
    <w:rsid w:val="00671FB0"/>
    <w:rsid w:val="00672EB3"/>
    <w:rsid w:val="00675B45"/>
    <w:rsid w:val="006766FF"/>
    <w:rsid w:val="00686248"/>
    <w:rsid w:val="00690CA9"/>
    <w:rsid w:val="006918FE"/>
    <w:rsid w:val="00696E76"/>
    <w:rsid w:val="00697E46"/>
    <w:rsid w:val="006A2DC3"/>
    <w:rsid w:val="006A2F17"/>
    <w:rsid w:val="006A4268"/>
    <w:rsid w:val="006A6942"/>
    <w:rsid w:val="006A6D7C"/>
    <w:rsid w:val="006B022B"/>
    <w:rsid w:val="006B2FEB"/>
    <w:rsid w:val="006D0391"/>
    <w:rsid w:val="006D37D1"/>
    <w:rsid w:val="006D4066"/>
    <w:rsid w:val="006E0225"/>
    <w:rsid w:val="006E09BB"/>
    <w:rsid w:val="006E1E60"/>
    <w:rsid w:val="006E62D8"/>
    <w:rsid w:val="006F182A"/>
    <w:rsid w:val="006F33DA"/>
    <w:rsid w:val="006F4477"/>
    <w:rsid w:val="007013C9"/>
    <w:rsid w:val="00706167"/>
    <w:rsid w:val="00714868"/>
    <w:rsid w:val="00715A0F"/>
    <w:rsid w:val="007169AD"/>
    <w:rsid w:val="00721027"/>
    <w:rsid w:val="00721978"/>
    <w:rsid w:val="00722BCF"/>
    <w:rsid w:val="0073303A"/>
    <w:rsid w:val="00735906"/>
    <w:rsid w:val="007365FB"/>
    <w:rsid w:val="00736E4B"/>
    <w:rsid w:val="007420D9"/>
    <w:rsid w:val="0074253B"/>
    <w:rsid w:val="0074628B"/>
    <w:rsid w:val="007527E1"/>
    <w:rsid w:val="00754F4E"/>
    <w:rsid w:val="0075574E"/>
    <w:rsid w:val="007572C2"/>
    <w:rsid w:val="00761FB8"/>
    <w:rsid w:val="00766C29"/>
    <w:rsid w:val="0077072B"/>
    <w:rsid w:val="00773289"/>
    <w:rsid w:val="00773DC1"/>
    <w:rsid w:val="00777175"/>
    <w:rsid w:val="007827A4"/>
    <w:rsid w:val="00785847"/>
    <w:rsid w:val="0078780C"/>
    <w:rsid w:val="0079154F"/>
    <w:rsid w:val="00791CED"/>
    <w:rsid w:val="0079289E"/>
    <w:rsid w:val="007A03A5"/>
    <w:rsid w:val="007A2901"/>
    <w:rsid w:val="007A3487"/>
    <w:rsid w:val="007A5587"/>
    <w:rsid w:val="007A6D71"/>
    <w:rsid w:val="007B0D8A"/>
    <w:rsid w:val="007B2919"/>
    <w:rsid w:val="007B3733"/>
    <w:rsid w:val="007B5206"/>
    <w:rsid w:val="007B570A"/>
    <w:rsid w:val="007B6342"/>
    <w:rsid w:val="007B653D"/>
    <w:rsid w:val="007C3195"/>
    <w:rsid w:val="007D252F"/>
    <w:rsid w:val="007D3F7C"/>
    <w:rsid w:val="007D4EBE"/>
    <w:rsid w:val="007D6138"/>
    <w:rsid w:val="007E111E"/>
    <w:rsid w:val="007E246E"/>
    <w:rsid w:val="007E6FF5"/>
    <w:rsid w:val="007E7A46"/>
    <w:rsid w:val="007E7E72"/>
    <w:rsid w:val="007F55BB"/>
    <w:rsid w:val="008022C0"/>
    <w:rsid w:val="0080459A"/>
    <w:rsid w:val="008112FF"/>
    <w:rsid w:val="00812283"/>
    <w:rsid w:val="00822C98"/>
    <w:rsid w:val="00830190"/>
    <w:rsid w:val="008310CD"/>
    <w:rsid w:val="0083274C"/>
    <w:rsid w:val="008354CC"/>
    <w:rsid w:val="008379FB"/>
    <w:rsid w:val="008425E3"/>
    <w:rsid w:val="008451AD"/>
    <w:rsid w:val="00847868"/>
    <w:rsid w:val="00850AC0"/>
    <w:rsid w:val="008513BE"/>
    <w:rsid w:val="00853325"/>
    <w:rsid w:val="00854E89"/>
    <w:rsid w:val="00855B04"/>
    <w:rsid w:val="00855D41"/>
    <w:rsid w:val="00857878"/>
    <w:rsid w:val="00863175"/>
    <w:rsid w:val="00863D94"/>
    <w:rsid w:val="00865F2C"/>
    <w:rsid w:val="0087087A"/>
    <w:rsid w:val="00870F05"/>
    <w:rsid w:val="0087289A"/>
    <w:rsid w:val="0087297C"/>
    <w:rsid w:val="00881317"/>
    <w:rsid w:val="00883A35"/>
    <w:rsid w:val="008864D8"/>
    <w:rsid w:val="00886BF6"/>
    <w:rsid w:val="008912A2"/>
    <w:rsid w:val="008925CA"/>
    <w:rsid w:val="0089326E"/>
    <w:rsid w:val="008A2077"/>
    <w:rsid w:val="008A6530"/>
    <w:rsid w:val="008B413D"/>
    <w:rsid w:val="008B779C"/>
    <w:rsid w:val="008C459A"/>
    <w:rsid w:val="008C7A6A"/>
    <w:rsid w:val="008D13F2"/>
    <w:rsid w:val="008D1EC6"/>
    <w:rsid w:val="008D5C0E"/>
    <w:rsid w:val="008D632B"/>
    <w:rsid w:val="008D72C1"/>
    <w:rsid w:val="008E44D1"/>
    <w:rsid w:val="008E4D61"/>
    <w:rsid w:val="008E624C"/>
    <w:rsid w:val="008E6CCF"/>
    <w:rsid w:val="008F0123"/>
    <w:rsid w:val="008F171C"/>
    <w:rsid w:val="008F201F"/>
    <w:rsid w:val="008F6523"/>
    <w:rsid w:val="008F72D0"/>
    <w:rsid w:val="008F7CA8"/>
    <w:rsid w:val="00901911"/>
    <w:rsid w:val="009066EF"/>
    <w:rsid w:val="00913908"/>
    <w:rsid w:val="0091439F"/>
    <w:rsid w:val="0091489D"/>
    <w:rsid w:val="009171EE"/>
    <w:rsid w:val="00917CC9"/>
    <w:rsid w:val="00917DBC"/>
    <w:rsid w:val="00920E63"/>
    <w:rsid w:val="00922F89"/>
    <w:rsid w:val="009232C7"/>
    <w:rsid w:val="00924323"/>
    <w:rsid w:val="009271D2"/>
    <w:rsid w:val="00930140"/>
    <w:rsid w:val="00931713"/>
    <w:rsid w:val="00932201"/>
    <w:rsid w:val="0093452E"/>
    <w:rsid w:val="009365B5"/>
    <w:rsid w:val="00936DD6"/>
    <w:rsid w:val="00943B3E"/>
    <w:rsid w:val="00943EBC"/>
    <w:rsid w:val="0094453F"/>
    <w:rsid w:val="0094481D"/>
    <w:rsid w:val="0094652B"/>
    <w:rsid w:val="0094768E"/>
    <w:rsid w:val="00951D53"/>
    <w:rsid w:val="00953815"/>
    <w:rsid w:val="0095391C"/>
    <w:rsid w:val="00954926"/>
    <w:rsid w:val="00955509"/>
    <w:rsid w:val="00956E45"/>
    <w:rsid w:val="00965212"/>
    <w:rsid w:val="0096594E"/>
    <w:rsid w:val="00972EF2"/>
    <w:rsid w:val="00974579"/>
    <w:rsid w:val="00975A09"/>
    <w:rsid w:val="0097685B"/>
    <w:rsid w:val="00977051"/>
    <w:rsid w:val="00977DE5"/>
    <w:rsid w:val="00981762"/>
    <w:rsid w:val="00983A90"/>
    <w:rsid w:val="009844EE"/>
    <w:rsid w:val="00986675"/>
    <w:rsid w:val="00987AA3"/>
    <w:rsid w:val="00987D3E"/>
    <w:rsid w:val="009967EC"/>
    <w:rsid w:val="009A1237"/>
    <w:rsid w:val="009A2807"/>
    <w:rsid w:val="009A38D3"/>
    <w:rsid w:val="009A495E"/>
    <w:rsid w:val="009B3416"/>
    <w:rsid w:val="009B4A82"/>
    <w:rsid w:val="009B6A5A"/>
    <w:rsid w:val="009C48FC"/>
    <w:rsid w:val="009C78B3"/>
    <w:rsid w:val="009D1CC4"/>
    <w:rsid w:val="009D65E1"/>
    <w:rsid w:val="009E1FCD"/>
    <w:rsid w:val="009E4729"/>
    <w:rsid w:val="009E584A"/>
    <w:rsid w:val="009E67EF"/>
    <w:rsid w:val="009E7B6C"/>
    <w:rsid w:val="009F1661"/>
    <w:rsid w:val="009F27B9"/>
    <w:rsid w:val="009F353B"/>
    <w:rsid w:val="009F545F"/>
    <w:rsid w:val="009F578B"/>
    <w:rsid w:val="009F6A92"/>
    <w:rsid w:val="00A01CEA"/>
    <w:rsid w:val="00A02CB1"/>
    <w:rsid w:val="00A06C3B"/>
    <w:rsid w:val="00A1013C"/>
    <w:rsid w:val="00A115BA"/>
    <w:rsid w:val="00A20522"/>
    <w:rsid w:val="00A2524E"/>
    <w:rsid w:val="00A30868"/>
    <w:rsid w:val="00A310AB"/>
    <w:rsid w:val="00A313F3"/>
    <w:rsid w:val="00A321E1"/>
    <w:rsid w:val="00A33292"/>
    <w:rsid w:val="00A41429"/>
    <w:rsid w:val="00A41F88"/>
    <w:rsid w:val="00A44957"/>
    <w:rsid w:val="00A45D46"/>
    <w:rsid w:val="00A536A5"/>
    <w:rsid w:val="00A5507F"/>
    <w:rsid w:val="00A655F9"/>
    <w:rsid w:val="00A6593F"/>
    <w:rsid w:val="00A667A6"/>
    <w:rsid w:val="00A671B6"/>
    <w:rsid w:val="00A70CB2"/>
    <w:rsid w:val="00A72DA1"/>
    <w:rsid w:val="00A73214"/>
    <w:rsid w:val="00A7344F"/>
    <w:rsid w:val="00A75087"/>
    <w:rsid w:val="00A776BB"/>
    <w:rsid w:val="00A77860"/>
    <w:rsid w:val="00A77DF8"/>
    <w:rsid w:val="00A81084"/>
    <w:rsid w:val="00A94E69"/>
    <w:rsid w:val="00AA0A6B"/>
    <w:rsid w:val="00AA2A74"/>
    <w:rsid w:val="00AA2D0C"/>
    <w:rsid w:val="00AA4A52"/>
    <w:rsid w:val="00AA50DC"/>
    <w:rsid w:val="00AA623E"/>
    <w:rsid w:val="00AA7F7B"/>
    <w:rsid w:val="00AB1448"/>
    <w:rsid w:val="00AB2592"/>
    <w:rsid w:val="00AC1333"/>
    <w:rsid w:val="00AC5599"/>
    <w:rsid w:val="00AC63F4"/>
    <w:rsid w:val="00AD23B2"/>
    <w:rsid w:val="00AD37E9"/>
    <w:rsid w:val="00AD6B2A"/>
    <w:rsid w:val="00AE0EEF"/>
    <w:rsid w:val="00AE2BDE"/>
    <w:rsid w:val="00AE4D3A"/>
    <w:rsid w:val="00AE51B2"/>
    <w:rsid w:val="00AE5F4A"/>
    <w:rsid w:val="00AE6923"/>
    <w:rsid w:val="00AE72C1"/>
    <w:rsid w:val="00AE79E9"/>
    <w:rsid w:val="00AF19DE"/>
    <w:rsid w:val="00AF34B9"/>
    <w:rsid w:val="00AF5E85"/>
    <w:rsid w:val="00B008BF"/>
    <w:rsid w:val="00B02BE9"/>
    <w:rsid w:val="00B04A7B"/>
    <w:rsid w:val="00B05523"/>
    <w:rsid w:val="00B11782"/>
    <w:rsid w:val="00B12B70"/>
    <w:rsid w:val="00B13F16"/>
    <w:rsid w:val="00B204B0"/>
    <w:rsid w:val="00B21295"/>
    <w:rsid w:val="00B225D8"/>
    <w:rsid w:val="00B30464"/>
    <w:rsid w:val="00B316D8"/>
    <w:rsid w:val="00B32A9C"/>
    <w:rsid w:val="00B35A45"/>
    <w:rsid w:val="00B36442"/>
    <w:rsid w:val="00B36D67"/>
    <w:rsid w:val="00B36F9B"/>
    <w:rsid w:val="00B4010B"/>
    <w:rsid w:val="00B52285"/>
    <w:rsid w:val="00B624F3"/>
    <w:rsid w:val="00B64E11"/>
    <w:rsid w:val="00B6520F"/>
    <w:rsid w:val="00B72D0E"/>
    <w:rsid w:val="00B7672C"/>
    <w:rsid w:val="00B80E71"/>
    <w:rsid w:val="00B81DDF"/>
    <w:rsid w:val="00B854A8"/>
    <w:rsid w:val="00B86410"/>
    <w:rsid w:val="00B9099B"/>
    <w:rsid w:val="00B90D35"/>
    <w:rsid w:val="00B954C6"/>
    <w:rsid w:val="00B97639"/>
    <w:rsid w:val="00BA1030"/>
    <w:rsid w:val="00BA4C56"/>
    <w:rsid w:val="00BA6148"/>
    <w:rsid w:val="00BA64AF"/>
    <w:rsid w:val="00BB3FC0"/>
    <w:rsid w:val="00BB5689"/>
    <w:rsid w:val="00BB6533"/>
    <w:rsid w:val="00BC0192"/>
    <w:rsid w:val="00BC1FF8"/>
    <w:rsid w:val="00BC2D2E"/>
    <w:rsid w:val="00BC4E35"/>
    <w:rsid w:val="00BE388A"/>
    <w:rsid w:val="00BE4AB3"/>
    <w:rsid w:val="00BE5380"/>
    <w:rsid w:val="00BE591D"/>
    <w:rsid w:val="00BE595E"/>
    <w:rsid w:val="00BE63EA"/>
    <w:rsid w:val="00BE766D"/>
    <w:rsid w:val="00BF0251"/>
    <w:rsid w:val="00BF38A6"/>
    <w:rsid w:val="00BF411A"/>
    <w:rsid w:val="00BF7513"/>
    <w:rsid w:val="00BF7E96"/>
    <w:rsid w:val="00C00D18"/>
    <w:rsid w:val="00C01901"/>
    <w:rsid w:val="00C067F6"/>
    <w:rsid w:val="00C076B6"/>
    <w:rsid w:val="00C07E67"/>
    <w:rsid w:val="00C108F1"/>
    <w:rsid w:val="00C12B61"/>
    <w:rsid w:val="00C13DF4"/>
    <w:rsid w:val="00C145F8"/>
    <w:rsid w:val="00C23259"/>
    <w:rsid w:val="00C2566C"/>
    <w:rsid w:val="00C2649A"/>
    <w:rsid w:val="00C32A89"/>
    <w:rsid w:val="00C32B3E"/>
    <w:rsid w:val="00C33C43"/>
    <w:rsid w:val="00C36102"/>
    <w:rsid w:val="00C364A5"/>
    <w:rsid w:val="00C476C0"/>
    <w:rsid w:val="00C51274"/>
    <w:rsid w:val="00C57714"/>
    <w:rsid w:val="00C6347F"/>
    <w:rsid w:val="00C66D96"/>
    <w:rsid w:val="00C728A5"/>
    <w:rsid w:val="00C73E5A"/>
    <w:rsid w:val="00C75CFC"/>
    <w:rsid w:val="00C77F3D"/>
    <w:rsid w:val="00C8100F"/>
    <w:rsid w:val="00C8104F"/>
    <w:rsid w:val="00C840AF"/>
    <w:rsid w:val="00C8427E"/>
    <w:rsid w:val="00C93E5F"/>
    <w:rsid w:val="00CA05CF"/>
    <w:rsid w:val="00CB0766"/>
    <w:rsid w:val="00CB131F"/>
    <w:rsid w:val="00CB16A8"/>
    <w:rsid w:val="00CB198C"/>
    <w:rsid w:val="00CB5662"/>
    <w:rsid w:val="00CB5D68"/>
    <w:rsid w:val="00CB67B9"/>
    <w:rsid w:val="00CC0485"/>
    <w:rsid w:val="00CC0A30"/>
    <w:rsid w:val="00CC3164"/>
    <w:rsid w:val="00CC3E4F"/>
    <w:rsid w:val="00CC4938"/>
    <w:rsid w:val="00CC52C2"/>
    <w:rsid w:val="00CD2322"/>
    <w:rsid w:val="00CD32F9"/>
    <w:rsid w:val="00CD4046"/>
    <w:rsid w:val="00CD66F4"/>
    <w:rsid w:val="00CD69CE"/>
    <w:rsid w:val="00CD7825"/>
    <w:rsid w:val="00CD7F76"/>
    <w:rsid w:val="00CE0785"/>
    <w:rsid w:val="00CE3591"/>
    <w:rsid w:val="00CE374F"/>
    <w:rsid w:val="00CE50DC"/>
    <w:rsid w:val="00CE631C"/>
    <w:rsid w:val="00CF245B"/>
    <w:rsid w:val="00CF2E76"/>
    <w:rsid w:val="00CF3707"/>
    <w:rsid w:val="00CF5BE3"/>
    <w:rsid w:val="00CF74CA"/>
    <w:rsid w:val="00D0106B"/>
    <w:rsid w:val="00D06DFE"/>
    <w:rsid w:val="00D124F1"/>
    <w:rsid w:val="00D14251"/>
    <w:rsid w:val="00D15C73"/>
    <w:rsid w:val="00D218CA"/>
    <w:rsid w:val="00D226C3"/>
    <w:rsid w:val="00D2304A"/>
    <w:rsid w:val="00D232C7"/>
    <w:rsid w:val="00D26884"/>
    <w:rsid w:val="00D271DC"/>
    <w:rsid w:val="00D32148"/>
    <w:rsid w:val="00D3294D"/>
    <w:rsid w:val="00D3402E"/>
    <w:rsid w:val="00D3495F"/>
    <w:rsid w:val="00D366B0"/>
    <w:rsid w:val="00D43CF3"/>
    <w:rsid w:val="00D47878"/>
    <w:rsid w:val="00D51D51"/>
    <w:rsid w:val="00D53E76"/>
    <w:rsid w:val="00D57140"/>
    <w:rsid w:val="00D60FC4"/>
    <w:rsid w:val="00D65923"/>
    <w:rsid w:val="00D676DF"/>
    <w:rsid w:val="00D72D1B"/>
    <w:rsid w:val="00D72F5B"/>
    <w:rsid w:val="00D73015"/>
    <w:rsid w:val="00D7315A"/>
    <w:rsid w:val="00D74875"/>
    <w:rsid w:val="00D75036"/>
    <w:rsid w:val="00D75B70"/>
    <w:rsid w:val="00D75EFA"/>
    <w:rsid w:val="00D764F2"/>
    <w:rsid w:val="00D76D7E"/>
    <w:rsid w:val="00D77C0C"/>
    <w:rsid w:val="00D81F1A"/>
    <w:rsid w:val="00D827F6"/>
    <w:rsid w:val="00D83667"/>
    <w:rsid w:val="00D85889"/>
    <w:rsid w:val="00D874A0"/>
    <w:rsid w:val="00D87A7F"/>
    <w:rsid w:val="00D931F1"/>
    <w:rsid w:val="00D9347B"/>
    <w:rsid w:val="00D93494"/>
    <w:rsid w:val="00D94B48"/>
    <w:rsid w:val="00D96242"/>
    <w:rsid w:val="00DA24CF"/>
    <w:rsid w:val="00DA257F"/>
    <w:rsid w:val="00DA60EC"/>
    <w:rsid w:val="00DA7B57"/>
    <w:rsid w:val="00DB05AD"/>
    <w:rsid w:val="00DB413C"/>
    <w:rsid w:val="00DB560F"/>
    <w:rsid w:val="00DB5D4D"/>
    <w:rsid w:val="00DB5E96"/>
    <w:rsid w:val="00DC3646"/>
    <w:rsid w:val="00DC7D67"/>
    <w:rsid w:val="00DD23A0"/>
    <w:rsid w:val="00DD344A"/>
    <w:rsid w:val="00DD35D5"/>
    <w:rsid w:val="00DD35EF"/>
    <w:rsid w:val="00DD495E"/>
    <w:rsid w:val="00DE01F9"/>
    <w:rsid w:val="00DE09A6"/>
    <w:rsid w:val="00DE1252"/>
    <w:rsid w:val="00DE3458"/>
    <w:rsid w:val="00DE384C"/>
    <w:rsid w:val="00DF1CCC"/>
    <w:rsid w:val="00DF33A6"/>
    <w:rsid w:val="00DF367A"/>
    <w:rsid w:val="00E00703"/>
    <w:rsid w:val="00E01C3F"/>
    <w:rsid w:val="00E02F14"/>
    <w:rsid w:val="00E05990"/>
    <w:rsid w:val="00E07679"/>
    <w:rsid w:val="00E14CB4"/>
    <w:rsid w:val="00E16D83"/>
    <w:rsid w:val="00E20C5B"/>
    <w:rsid w:val="00E21222"/>
    <w:rsid w:val="00E2159C"/>
    <w:rsid w:val="00E222B8"/>
    <w:rsid w:val="00E25217"/>
    <w:rsid w:val="00E257C4"/>
    <w:rsid w:val="00E3062D"/>
    <w:rsid w:val="00E3314A"/>
    <w:rsid w:val="00E3563C"/>
    <w:rsid w:val="00E41937"/>
    <w:rsid w:val="00E42ACB"/>
    <w:rsid w:val="00E47CB1"/>
    <w:rsid w:val="00E51B09"/>
    <w:rsid w:val="00E5255C"/>
    <w:rsid w:val="00E540B1"/>
    <w:rsid w:val="00E54B2D"/>
    <w:rsid w:val="00E562E8"/>
    <w:rsid w:val="00E624E6"/>
    <w:rsid w:val="00E62C7F"/>
    <w:rsid w:val="00E63C56"/>
    <w:rsid w:val="00E65B33"/>
    <w:rsid w:val="00E65FEC"/>
    <w:rsid w:val="00E66A5C"/>
    <w:rsid w:val="00E672FC"/>
    <w:rsid w:val="00E67BB0"/>
    <w:rsid w:val="00E71192"/>
    <w:rsid w:val="00E72446"/>
    <w:rsid w:val="00E73184"/>
    <w:rsid w:val="00E73C27"/>
    <w:rsid w:val="00E80177"/>
    <w:rsid w:val="00E80BDE"/>
    <w:rsid w:val="00E82049"/>
    <w:rsid w:val="00E825DB"/>
    <w:rsid w:val="00E83E50"/>
    <w:rsid w:val="00E862D5"/>
    <w:rsid w:val="00E90E08"/>
    <w:rsid w:val="00E92869"/>
    <w:rsid w:val="00E95CB0"/>
    <w:rsid w:val="00E95E44"/>
    <w:rsid w:val="00EA0DD9"/>
    <w:rsid w:val="00EA3559"/>
    <w:rsid w:val="00EA45D6"/>
    <w:rsid w:val="00EA45F0"/>
    <w:rsid w:val="00EA48CE"/>
    <w:rsid w:val="00EA5E30"/>
    <w:rsid w:val="00EA640A"/>
    <w:rsid w:val="00EA7374"/>
    <w:rsid w:val="00EB005A"/>
    <w:rsid w:val="00EB1770"/>
    <w:rsid w:val="00EB28E7"/>
    <w:rsid w:val="00EB4925"/>
    <w:rsid w:val="00EB5D57"/>
    <w:rsid w:val="00EC1A91"/>
    <w:rsid w:val="00EC26FC"/>
    <w:rsid w:val="00EC2D2D"/>
    <w:rsid w:val="00EC4FB7"/>
    <w:rsid w:val="00ED08AD"/>
    <w:rsid w:val="00ED5CFC"/>
    <w:rsid w:val="00ED71FC"/>
    <w:rsid w:val="00ED7293"/>
    <w:rsid w:val="00EE3112"/>
    <w:rsid w:val="00EE526B"/>
    <w:rsid w:val="00EE5470"/>
    <w:rsid w:val="00EE75DD"/>
    <w:rsid w:val="00EE79E6"/>
    <w:rsid w:val="00EF31A8"/>
    <w:rsid w:val="00EF42EF"/>
    <w:rsid w:val="00EF528F"/>
    <w:rsid w:val="00EF7C08"/>
    <w:rsid w:val="00F00518"/>
    <w:rsid w:val="00F00EA0"/>
    <w:rsid w:val="00F01FCE"/>
    <w:rsid w:val="00F04F07"/>
    <w:rsid w:val="00F075FA"/>
    <w:rsid w:val="00F158F3"/>
    <w:rsid w:val="00F17A83"/>
    <w:rsid w:val="00F22E80"/>
    <w:rsid w:val="00F22FC3"/>
    <w:rsid w:val="00F24A80"/>
    <w:rsid w:val="00F266BA"/>
    <w:rsid w:val="00F2749C"/>
    <w:rsid w:val="00F278AB"/>
    <w:rsid w:val="00F32724"/>
    <w:rsid w:val="00F34965"/>
    <w:rsid w:val="00F35A14"/>
    <w:rsid w:val="00F364E3"/>
    <w:rsid w:val="00F400D9"/>
    <w:rsid w:val="00F40394"/>
    <w:rsid w:val="00F4129B"/>
    <w:rsid w:val="00F465DA"/>
    <w:rsid w:val="00F54FC2"/>
    <w:rsid w:val="00F57251"/>
    <w:rsid w:val="00F5751D"/>
    <w:rsid w:val="00F65240"/>
    <w:rsid w:val="00F7187A"/>
    <w:rsid w:val="00F71F16"/>
    <w:rsid w:val="00F7503C"/>
    <w:rsid w:val="00F8090E"/>
    <w:rsid w:val="00F818F5"/>
    <w:rsid w:val="00F8311F"/>
    <w:rsid w:val="00F8511E"/>
    <w:rsid w:val="00F94055"/>
    <w:rsid w:val="00F945E0"/>
    <w:rsid w:val="00FB219C"/>
    <w:rsid w:val="00FB2BFE"/>
    <w:rsid w:val="00FB760D"/>
    <w:rsid w:val="00FC5704"/>
    <w:rsid w:val="00FC62C5"/>
    <w:rsid w:val="00FC7FCB"/>
    <w:rsid w:val="00FD1A0D"/>
    <w:rsid w:val="00FD622B"/>
    <w:rsid w:val="00FE0028"/>
    <w:rsid w:val="00FE09EF"/>
    <w:rsid w:val="00FE0C0B"/>
    <w:rsid w:val="00FE0F06"/>
    <w:rsid w:val="00FE1B78"/>
    <w:rsid w:val="00FE2479"/>
    <w:rsid w:val="00FE4575"/>
    <w:rsid w:val="00FE6A52"/>
    <w:rsid w:val="00FE70F8"/>
    <w:rsid w:val="00FF47B5"/>
    <w:rsid w:val="00FF71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CE9CE"/>
  <w15:chartTrackingRefBased/>
  <w15:docId w15:val="{146D312E-7FEC-42B1-B941-D2CDCD51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FB21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FB21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FB219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FB219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FB219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FB219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FB219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FB219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FB219C"/>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FB219C"/>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FB219C"/>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rsid w:val="00FB219C"/>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FB219C"/>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FB219C"/>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FB219C"/>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FB219C"/>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FB219C"/>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FB219C"/>
    <w:rPr>
      <w:rFonts w:eastAsiaTheme="majorEastAsia" w:cstheme="majorBidi"/>
      <w:color w:val="272727" w:themeColor="text1" w:themeTint="D8"/>
    </w:rPr>
  </w:style>
  <w:style w:type="paragraph" w:styleId="Ttulo">
    <w:name w:val="Title"/>
    <w:basedOn w:val="Normal"/>
    <w:next w:val="Normal"/>
    <w:link w:val="TtuloChar"/>
    <w:uiPriority w:val="10"/>
    <w:qFormat/>
    <w:rsid w:val="00FB21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B219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FB219C"/>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FB219C"/>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FB219C"/>
    <w:pPr>
      <w:spacing w:before="160"/>
      <w:jc w:val="center"/>
    </w:pPr>
    <w:rPr>
      <w:i/>
      <w:iCs/>
      <w:color w:val="404040" w:themeColor="text1" w:themeTint="BF"/>
    </w:rPr>
  </w:style>
  <w:style w:type="character" w:customStyle="1" w:styleId="CitaoChar">
    <w:name w:val="Citação Char"/>
    <w:basedOn w:val="Fontepargpadro"/>
    <w:link w:val="Citao"/>
    <w:uiPriority w:val="29"/>
    <w:rsid w:val="00FB219C"/>
    <w:rPr>
      <w:i/>
      <w:iCs/>
      <w:color w:val="404040" w:themeColor="text1" w:themeTint="BF"/>
    </w:rPr>
  </w:style>
  <w:style w:type="paragraph" w:styleId="PargrafodaLista">
    <w:name w:val="List Paragraph"/>
    <w:basedOn w:val="Normal"/>
    <w:uiPriority w:val="34"/>
    <w:qFormat/>
    <w:rsid w:val="00FB219C"/>
    <w:pPr>
      <w:ind w:left="720"/>
      <w:contextualSpacing/>
    </w:pPr>
  </w:style>
  <w:style w:type="character" w:styleId="nfaseIntensa">
    <w:name w:val="Intense Emphasis"/>
    <w:basedOn w:val="Fontepargpadro"/>
    <w:uiPriority w:val="21"/>
    <w:qFormat/>
    <w:rsid w:val="00FB219C"/>
    <w:rPr>
      <w:i/>
      <w:iCs/>
      <w:color w:val="0F4761" w:themeColor="accent1" w:themeShade="BF"/>
    </w:rPr>
  </w:style>
  <w:style w:type="paragraph" w:styleId="CitaoIntensa">
    <w:name w:val="Intense Quote"/>
    <w:basedOn w:val="Normal"/>
    <w:next w:val="Normal"/>
    <w:link w:val="CitaoIntensaChar"/>
    <w:uiPriority w:val="30"/>
    <w:qFormat/>
    <w:rsid w:val="00FB21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FB219C"/>
    <w:rPr>
      <w:i/>
      <w:iCs/>
      <w:color w:val="0F4761" w:themeColor="accent1" w:themeShade="BF"/>
    </w:rPr>
  </w:style>
  <w:style w:type="character" w:styleId="RefernciaIntensa">
    <w:name w:val="Intense Reference"/>
    <w:basedOn w:val="Fontepargpadro"/>
    <w:uiPriority w:val="32"/>
    <w:qFormat/>
    <w:rsid w:val="00FB219C"/>
    <w:rPr>
      <w:b/>
      <w:bCs/>
      <w:smallCaps/>
      <w:color w:val="0F4761" w:themeColor="accent1" w:themeShade="BF"/>
      <w:spacing w:val="5"/>
    </w:rPr>
  </w:style>
  <w:style w:type="paragraph" w:styleId="Cabealho">
    <w:name w:val="header"/>
    <w:basedOn w:val="Normal"/>
    <w:link w:val="CabealhoChar"/>
    <w:uiPriority w:val="99"/>
    <w:unhideWhenUsed/>
    <w:rsid w:val="00773D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DC1"/>
  </w:style>
  <w:style w:type="paragraph" w:styleId="Rodap">
    <w:name w:val="footer"/>
    <w:basedOn w:val="Normal"/>
    <w:link w:val="RodapChar"/>
    <w:uiPriority w:val="99"/>
    <w:unhideWhenUsed/>
    <w:rsid w:val="00773DC1"/>
    <w:pPr>
      <w:tabs>
        <w:tab w:val="center" w:pos="4252"/>
        <w:tab w:val="right" w:pos="8504"/>
      </w:tabs>
      <w:spacing w:after="0" w:line="240" w:lineRule="auto"/>
    </w:pPr>
  </w:style>
  <w:style w:type="character" w:customStyle="1" w:styleId="RodapChar">
    <w:name w:val="Rodapé Char"/>
    <w:basedOn w:val="Fontepargpadro"/>
    <w:link w:val="Rodap"/>
    <w:uiPriority w:val="99"/>
    <w:rsid w:val="00773DC1"/>
  </w:style>
  <w:style w:type="paragraph" w:customStyle="1" w:styleId="ArtigoFasul">
    <w:name w:val="Artigo Fasul"/>
    <w:basedOn w:val="Normal"/>
    <w:link w:val="ArtigoFasulChar"/>
    <w:qFormat/>
    <w:rsid w:val="001A1C0D"/>
    <w:pPr>
      <w:spacing w:after="0" w:line="360" w:lineRule="auto"/>
      <w:jc w:val="both"/>
    </w:pPr>
    <w:rPr>
      <w:rFonts w:ascii="Arial" w:hAnsi="Arial"/>
      <w:sz w:val="24"/>
    </w:rPr>
  </w:style>
  <w:style w:type="character" w:customStyle="1" w:styleId="ArtigoFasulChar">
    <w:name w:val="Artigo Fasul Char"/>
    <w:basedOn w:val="Fontepargpadro"/>
    <w:link w:val="ArtigoFasul"/>
    <w:rsid w:val="001A1C0D"/>
    <w:rPr>
      <w:rFonts w:ascii="Arial" w:hAnsi="Arial"/>
      <w:sz w:val="24"/>
    </w:rPr>
  </w:style>
  <w:style w:type="paragraph" w:customStyle="1" w:styleId="CitaoFasul">
    <w:name w:val="Citação Fasul"/>
    <w:basedOn w:val="ArtigoFasul"/>
    <w:link w:val="CitaoFasulChar"/>
    <w:qFormat/>
    <w:rsid w:val="001A1C0D"/>
    <w:pPr>
      <w:spacing w:line="240" w:lineRule="auto"/>
    </w:pPr>
    <w:rPr>
      <w:sz w:val="22"/>
    </w:rPr>
  </w:style>
  <w:style w:type="character" w:customStyle="1" w:styleId="CitaoFasulChar">
    <w:name w:val="Citação Fasul Char"/>
    <w:basedOn w:val="ArtigoFasulChar"/>
    <w:link w:val="CitaoFasul"/>
    <w:rsid w:val="001A1C0D"/>
    <w:rPr>
      <w:rFonts w:ascii="Arial" w:hAnsi="Arial"/>
      <w:sz w:val="24"/>
    </w:rPr>
  </w:style>
  <w:style w:type="paragraph" w:styleId="Textodenotaderodap">
    <w:name w:val="footnote text"/>
    <w:basedOn w:val="Normal"/>
    <w:link w:val="TextodenotaderodapChar"/>
    <w:uiPriority w:val="99"/>
    <w:semiHidden/>
    <w:unhideWhenUsed/>
    <w:rsid w:val="001A1C0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A1C0D"/>
    <w:rPr>
      <w:sz w:val="20"/>
      <w:szCs w:val="20"/>
    </w:rPr>
  </w:style>
  <w:style w:type="character" w:styleId="Refdenotaderodap">
    <w:name w:val="footnote reference"/>
    <w:basedOn w:val="Fontepargpadro"/>
    <w:uiPriority w:val="99"/>
    <w:semiHidden/>
    <w:unhideWhenUsed/>
    <w:rsid w:val="001A1C0D"/>
    <w:rPr>
      <w:vertAlign w:val="superscript"/>
    </w:rPr>
  </w:style>
  <w:style w:type="character" w:styleId="Hyperlink">
    <w:name w:val="Hyperlink"/>
    <w:basedOn w:val="Fontepargpadro"/>
    <w:uiPriority w:val="99"/>
    <w:unhideWhenUsed/>
    <w:rsid w:val="001A74C1"/>
    <w:rPr>
      <w:color w:val="467886" w:themeColor="hyperlink"/>
      <w:u w:val="single"/>
    </w:rPr>
  </w:style>
  <w:style w:type="character" w:styleId="MenoPendente">
    <w:name w:val="Unresolved Mention"/>
    <w:basedOn w:val="Fontepargpadro"/>
    <w:uiPriority w:val="99"/>
    <w:semiHidden/>
    <w:unhideWhenUsed/>
    <w:rsid w:val="001A74C1"/>
    <w:rPr>
      <w:color w:val="605E5C"/>
      <w:shd w:val="clear" w:color="auto" w:fill="E1DFDD"/>
    </w:rPr>
  </w:style>
  <w:style w:type="character" w:styleId="HiperlinkVisitado">
    <w:name w:val="FollowedHyperlink"/>
    <w:basedOn w:val="Fontepargpadro"/>
    <w:uiPriority w:val="99"/>
    <w:semiHidden/>
    <w:unhideWhenUsed/>
    <w:rsid w:val="00830190"/>
    <w:rPr>
      <w:color w:val="96607D" w:themeColor="followedHyperlink"/>
      <w:u w:val="single"/>
    </w:rPr>
  </w:style>
  <w:style w:type="paragraph" w:styleId="Legenda">
    <w:name w:val="caption"/>
    <w:basedOn w:val="Normal"/>
    <w:next w:val="Normal"/>
    <w:uiPriority w:val="35"/>
    <w:unhideWhenUsed/>
    <w:qFormat/>
    <w:rsid w:val="00965212"/>
    <w:pPr>
      <w:spacing w:after="200" w:line="240" w:lineRule="auto"/>
    </w:pPr>
    <w:rPr>
      <w:i/>
      <w:iCs/>
      <w:color w:val="0E2841" w:themeColor="text2"/>
      <w:sz w:val="18"/>
      <w:szCs w:val="18"/>
    </w:rPr>
  </w:style>
  <w:style w:type="character" w:styleId="nfase">
    <w:name w:val="Emphasis"/>
    <w:basedOn w:val="Fontepargpadro"/>
    <w:uiPriority w:val="20"/>
    <w:qFormat/>
    <w:rsid w:val="008E6CCF"/>
    <w:rPr>
      <w:i/>
      <w:iCs/>
    </w:rPr>
  </w:style>
  <w:style w:type="character" w:styleId="Refdecomentrio">
    <w:name w:val="annotation reference"/>
    <w:basedOn w:val="Fontepargpadro"/>
    <w:uiPriority w:val="99"/>
    <w:semiHidden/>
    <w:unhideWhenUsed/>
    <w:rsid w:val="00AF34B9"/>
    <w:rPr>
      <w:sz w:val="16"/>
      <w:szCs w:val="16"/>
    </w:rPr>
  </w:style>
  <w:style w:type="paragraph" w:styleId="Textodecomentrio">
    <w:name w:val="annotation text"/>
    <w:basedOn w:val="Normal"/>
    <w:link w:val="TextodecomentrioChar"/>
    <w:uiPriority w:val="99"/>
    <w:unhideWhenUsed/>
    <w:rsid w:val="00AF34B9"/>
    <w:pPr>
      <w:spacing w:line="240" w:lineRule="auto"/>
    </w:pPr>
    <w:rPr>
      <w:sz w:val="20"/>
      <w:szCs w:val="20"/>
    </w:rPr>
  </w:style>
  <w:style w:type="character" w:customStyle="1" w:styleId="TextodecomentrioChar">
    <w:name w:val="Texto de comentário Char"/>
    <w:basedOn w:val="Fontepargpadro"/>
    <w:link w:val="Textodecomentrio"/>
    <w:uiPriority w:val="99"/>
    <w:rsid w:val="00AF34B9"/>
    <w:rPr>
      <w:sz w:val="20"/>
      <w:szCs w:val="20"/>
    </w:rPr>
  </w:style>
  <w:style w:type="paragraph" w:styleId="Assuntodocomentrio">
    <w:name w:val="annotation subject"/>
    <w:basedOn w:val="Textodecomentrio"/>
    <w:next w:val="Textodecomentrio"/>
    <w:link w:val="AssuntodocomentrioChar"/>
    <w:uiPriority w:val="99"/>
    <w:semiHidden/>
    <w:unhideWhenUsed/>
    <w:rsid w:val="00AF34B9"/>
    <w:rPr>
      <w:b/>
      <w:bCs/>
    </w:rPr>
  </w:style>
  <w:style w:type="character" w:customStyle="1" w:styleId="AssuntodocomentrioChar">
    <w:name w:val="Assunto do comentário Char"/>
    <w:basedOn w:val="TextodecomentrioChar"/>
    <w:link w:val="Assuntodocomentrio"/>
    <w:uiPriority w:val="99"/>
    <w:semiHidden/>
    <w:rsid w:val="00AF34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950368">
      <w:bodyDiv w:val="1"/>
      <w:marLeft w:val="0"/>
      <w:marRight w:val="0"/>
      <w:marTop w:val="0"/>
      <w:marBottom w:val="0"/>
      <w:divBdr>
        <w:top w:val="none" w:sz="0" w:space="0" w:color="auto"/>
        <w:left w:val="none" w:sz="0" w:space="0" w:color="auto"/>
        <w:bottom w:val="none" w:sz="0" w:space="0" w:color="auto"/>
        <w:right w:val="none" w:sz="0" w:space="0" w:color="auto"/>
      </w:divBdr>
    </w:div>
    <w:div w:id="1569732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vsms.saude.gov.br/bvs/saudelegis/anvisa/2002/rdc0050_21_02_2002.html" TargetMode="External"/><Relationship Id="rId18" Type="http://schemas.openxmlformats.org/officeDocument/2006/relationships/hyperlink" Target="https://www.cjf.jus.br/cjf/unidades/controle-interno/normatizacao/roteiro-de-auditoria-de-obras-publicas-tcu/view/++widget++form.widgets.arquivo/@@download/Roteiro+de+Auditoria+de+Obras.pdf" TargetMode="External"/><Relationship Id="rId26" Type="http://schemas.openxmlformats.org/officeDocument/2006/relationships/hyperlink" Target="https://pesquisa.apps.tcu.gov.br/redireciona/acordao-completo/ACORDAO-COMPLETO-141169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esquisa.apps.tcu.gov.br/redireciona/acordao-completo/ACORDAO-COMPLETO-1309053" TargetMode="External"/><Relationship Id="rId34" Type="http://schemas.openxmlformats.org/officeDocument/2006/relationships/hyperlink" Target="https://www.gov.br/dnit/pt-br/assuntos/planejamento-e-pesquisa/ipr/coletanea-de-normas/coletanea-de-normas/terminologia-ter/dnit_005_2003_ter-1.pdf"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pesquisa.apps.tcu.gov.br/redireciona/acordao-completo/ACORDAO-COMPLETO-1157692" TargetMode="External"/><Relationship Id="rId25" Type="http://schemas.openxmlformats.org/officeDocument/2006/relationships/hyperlink" Target="https://pesquisa.apps.tcu.gov.br/redireciona/acordao-completo/ACORDAO-COMPLETO-1397731" TargetMode="External"/><Relationship Id="rId33" Type="http://schemas.openxmlformats.org/officeDocument/2006/relationships/hyperlink" Target="https://www.gov.br/dnit/pt-br/assuntos/planejamento-e-pesquisa/ipr/coletanea-de-normas/coletanea-de-normas/especificacao-de-servico-es/dner_es_169_86-1.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esquisa.apps.tcu.gov.br/redireciona/acordao-completo/ACORDAO-COMPLETO-18601" TargetMode="External"/><Relationship Id="rId20" Type="http://schemas.openxmlformats.org/officeDocument/2006/relationships/hyperlink" Target="https://pesquisa.apps.tcu.gov.br/redireciona/acordao-completo/ACORDAO-COMPLETO-1308531" TargetMode="External"/><Relationship Id="rId29" Type="http://schemas.openxmlformats.org/officeDocument/2006/relationships/hyperlink" Target="https://pesquisa.apps.tcu.gov.br/redireciona/acordao-completo/ACORDAO-COMPLETO-2259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pesquisa.apps.tcu.gov.br/redireciona/acordao-completo/ACORDAO-COMPLETO-1391564" TargetMode="External"/><Relationship Id="rId32" Type="http://schemas.openxmlformats.org/officeDocument/2006/relationships/hyperlink" Target="https://lume.ufrgs.br/bitstream/handle/10183/1420/000124337.pdf?sequence=1&amp;isAllowed=y"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lanalto.gov.br/ccivil_03/constituicao/constituicao.htm" TargetMode="External"/><Relationship Id="rId23" Type="http://schemas.openxmlformats.org/officeDocument/2006/relationships/hyperlink" Target="https://pesquisa.apps.tcu.gov.br/redireciona/acordao-completo/ACORDAO-COMPLETO-1371229" TargetMode="External"/><Relationship Id="rId28" Type="http://schemas.openxmlformats.org/officeDocument/2006/relationships/hyperlink" Target="https://portal.tcu.gov.br/data/files/38/C7/1B/D0/207929104CE08619E18818A8/Fiscobras%202016%20-%2020%20anos.pdf" TargetMode="External"/><Relationship Id="rId36" Type="http://schemas.openxmlformats.org/officeDocument/2006/relationships/hyperlink" Target="https://www.gov.br/dnit/pt-br/assuntos/planejamento-e-pesquisa/ipr/coletanea-de-normas/coletanea-de-normas/procedimento-pro/dnit_433_2021_pro.pdf" TargetMode="External"/><Relationship Id="rId10" Type="http://schemas.openxmlformats.org/officeDocument/2006/relationships/image" Target="media/image2.emf"/><Relationship Id="rId19" Type="http://schemas.openxmlformats.org/officeDocument/2006/relationships/hyperlink" Target="https://pesquisa.apps.tcu.gov.br/redireciona/acordao-completo/ACORDAO-COMPLETO-1297201" TargetMode="External"/><Relationship Id="rId31" Type="http://schemas.openxmlformats.org/officeDocument/2006/relationships/hyperlink" Target="https://pesquisa.apps.tcu.gov.br/redireciona/acordao-completo/ACORDAO-COMPLETO-2259266" TargetMode="External"/><Relationship Id="rId4" Type="http://schemas.openxmlformats.org/officeDocument/2006/relationships/settings" Target="settings.xml"/><Relationship Id="rId9" Type="http://schemas.openxmlformats.org/officeDocument/2006/relationships/hyperlink" Target="https://revistahaus.com.br/haus/arquitetura/trincas-fissuras-e-rachaduras-saiba-como-identificar-e-resolver-o-problema/" TargetMode="External"/><Relationship Id="rId14" Type="http://schemas.openxmlformats.org/officeDocument/2006/relationships/hyperlink" Target="https://anvisalegis.datalegis.net/action/ActionDatalegis.php?acao=abrirTextoAto&amp;tipo=RDC&amp;numeroAto=00000051&amp;seqAto=000&amp;valorAno=2011&amp;orgao=RDC/DC/ANVISA/MS&amp;codTipo=&amp;desItem=&amp;desItemFim=&amp;cod_menu=1696&amp;cod_modulo=134&amp;pesquisa=true" TargetMode="External"/><Relationship Id="rId22" Type="http://schemas.openxmlformats.org/officeDocument/2006/relationships/hyperlink" Target="https://pesquisa.apps.tcu.gov.br/redireciona/acordao-completo/ACORDAO-COMPLETO-1317966" TargetMode="External"/><Relationship Id="rId27" Type="http://schemas.openxmlformats.org/officeDocument/2006/relationships/hyperlink" Target="https://pesquisa.apps.tcu.gov.br/redireciona/acordao-completo/ACORDAO-COMPLETO-1736851" TargetMode="External"/><Relationship Id="rId30" Type="http://schemas.openxmlformats.org/officeDocument/2006/relationships/hyperlink" Target="https://pesquisa.apps.tcu.gov.br/redireciona/acordao-completo/ACORDAO-COMPLETO-2178964" TargetMode="External"/><Relationship Id="rId35" Type="http://schemas.openxmlformats.org/officeDocument/2006/relationships/hyperlink" Target="https://www.gov.br/dnit/pt-br/assuntos/planejamento-e-pesquisa/ipr/coletanea-de-manuais/vigentes/720_manual_restauracao_pavimentos_afalticos.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pesquisa.apps.tcu.gov.br/pesquisa/integrada" TargetMode="External"/><Relationship Id="rId1" Type="http://schemas.openxmlformats.org/officeDocument/2006/relationships/hyperlink" Target="https://pesquisa.apps.tcu.gov.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258A8-2B54-4FFD-AB54-DBF1373C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1797</TotalTime>
  <Pages>19</Pages>
  <Words>5812</Words>
  <Characters>31386</Characters>
  <Application>Microsoft Office Word</Application>
  <DocSecurity>0</DocSecurity>
  <Lines>261</Lines>
  <Paragraphs>74</Paragraphs>
  <ScaleCrop>false</ScaleCrop>
  <Company/>
  <LinksUpToDate>false</LinksUpToDate>
  <CharactersWithSpaces>37124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Hugo Moreira Ribeiro</dc:creator>
  <cp:keywords/>
  <dc:description/>
  <cp:lastModifiedBy>Victor Hugo Moreira Ribeiro</cp:lastModifiedBy>
  <cp:revision>507</cp:revision>
  <cp:lastPrinted>2024-08-15T17:49:00Z</cp:lastPrinted>
  <dcterms:created xsi:type="dcterms:W3CDTF">2024-11-18T12:03:00Z</dcterms:created>
  <dcterms:modified xsi:type="dcterms:W3CDTF">2024-12-07T12:41:00Z</dcterms:modified>
</cp:coreProperties>
</file>